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ascii="Times New Roman" w:hAnsi="Times New Roman"/>
          <w:sz w:val="24"/>
          <w:szCs w:val="24"/>
        </w:rPr>
        <w:t>АНАЛІЗ РЕГУЛЯТОРНОГО ВПЛИВУ</w:t>
      </w:r>
    </w:p>
    <w:p>
      <w:pPr>
        <w:pStyle w:val="Normal"/>
        <w:jc w:val="center"/>
        <w:rPr>
          <w:rFonts w:ascii="Times New Roman" w:hAnsi="Times New Roman"/>
          <w:sz w:val="24"/>
          <w:szCs w:val="24"/>
        </w:rPr>
      </w:pPr>
      <w:r>
        <w:rPr>
          <w:rFonts w:ascii="Times New Roman" w:hAnsi="Times New Roman"/>
          <w:sz w:val="24"/>
          <w:szCs w:val="24"/>
        </w:rPr>
        <w:t xml:space="preserve">до проекту рішення виконкому Миколаївської міської ради </w:t>
      </w:r>
    </w:p>
    <w:p>
      <w:pPr>
        <w:pStyle w:val="Normal"/>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Про затвердження Правил приймання стічних вод до систем централізованого водовідведення</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 Миколаєва”</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w:t>
      </w:r>
      <w:r>
        <w:rPr>
          <w:rFonts w:ascii="Times New Roman" w:hAnsi="Times New Roman"/>
          <w:b/>
          <w:bCs/>
          <w:sz w:val="24"/>
          <w:szCs w:val="24"/>
        </w:rPr>
        <w:t>. Визначення проблеми</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Одним із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Значний обсяг стічних вод надходить на міські очисні споруди каналізації від промислових підприємств, які не розраховані на очищення висококонцентрованих промислових стоків, а шкідливі речовини та агресивні хімічні сполуки яких руйнують каналізаційні мережі, порушують технологічні регламенти очищення стічних вод і не видаляються в процесі біологічного очищення.</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Це призводить до надзвичайних ситуацій, пов’язаних із порушенням технологічних процесів очищення на каналізаційних системах та до скиду суб'єктами господарювання забруднених стічних вод у поверхневі водні об’єкти.</w:t>
      </w:r>
    </w:p>
    <w:p>
      <w:pPr>
        <w:pStyle w:val="Normal"/>
        <w:jc w:val="both"/>
        <w:rPr>
          <w:rFonts w:ascii="Times New Roman" w:hAnsi="Times New Roman"/>
          <w:sz w:val="24"/>
          <w:szCs w:val="24"/>
        </w:rPr>
      </w:pPr>
      <w:r>
        <w:rPr>
          <w:rFonts w:ascii="Times New Roman" w:hAnsi="Times New Roman"/>
          <w:sz w:val="24"/>
          <w:szCs w:val="24"/>
        </w:rPr>
        <w:tab/>
      </w:r>
      <w:r>
        <w:rPr>
          <w:rFonts w:eastAsia="Calibri" w:cs="Times New Roman" w:ascii="Times New Roman" w:hAnsi="Times New Roman"/>
          <w:sz w:val="24"/>
          <w:szCs w:val="24"/>
          <w:lang w:val="uk-UA" w:eastAsia="en-US"/>
        </w:rPr>
        <w:t xml:space="preserve">Так, у місті </w:t>
      </w:r>
      <w:r>
        <w:rPr>
          <w:rFonts w:eastAsia="Calibri" w:cs="Times New Roman" w:ascii="Times New Roman" w:hAnsi="Times New Roman"/>
          <w:sz w:val="24"/>
          <w:szCs w:val="24"/>
          <w:lang w:val="uk-UA" w:eastAsia="en-US"/>
        </w:rPr>
        <w:t>Миколаєві</w:t>
      </w:r>
      <w:r>
        <w:rPr>
          <w:rFonts w:eastAsia="Calibri" w:cs="Times New Roman" w:ascii="Times New Roman" w:hAnsi="Times New Roman"/>
          <w:sz w:val="24"/>
          <w:szCs w:val="24"/>
          <w:lang w:val="uk-UA" w:eastAsia="en-US"/>
        </w:rPr>
        <w:t xml:space="preserve"> трапляються випадки скидання до міських систем централізованого </w:t>
      </w:r>
      <w:r>
        <w:rPr>
          <w:rFonts w:eastAsia="Calibri" w:cs="Times New Roman" w:ascii="Times New Roman" w:hAnsi="Times New Roman"/>
          <w:sz w:val="24"/>
          <w:szCs w:val="24"/>
          <w:lang w:val="uk-UA" w:eastAsia="en-US"/>
        </w:rPr>
        <w:t>водовідведення</w:t>
      </w:r>
      <w:r>
        <w:rPr>
          <w:rFonts w:eastAsia="Calibri" w:cs="Times New Roman" w:ascii="Times New Roman" w:hAnsi="Times New Roman"/>
          <w:sz w:val="24"/>
          <w:szCs w:val="24"/>
          <w:lang w:val="uk-UA" w:eastAsia="en-US"/>
        </w:rPr>
        <w:t xml:space="preserve"> стічних вод із вмістом жирів, нафтопродуктів, сміття, піску, шкідливих речовин та агресивних хімічних сполук, а також інших заборонених до скидання в міську каналізацію речовин, які руйнують каналізаційні мережі та порушують технологічні регламенти роботи </w:t>
      </w:r>
      <w:r>
        <w:rPr>
          <w:rFonts w:eastAsia="Calibri" w:cs="Times New Roman" w:ascii="Times New Roman" w:hAnsi="Times New Roman"/>
          <w:sz w:val="24"/>
          <w:szCs w:val="24"/>
          <w:lang w:val="uk-UA" w:eastAsia="en-US"/>
        </w:rPr>
        <w:t>міських</w:t>
      </w:r>
      <w:r>
        <w:rPr>
          <w:rFonts w:eastAsia="Calibri" w:cs="Times New Roman" w:ascii="Times New Roman" w:hAnsi="Times New Roman"/>
          <w:sz w:val="24"/>
          <w:szCs w:val="24"/>
          <w:lang w:val="uk-UA" w:eastAsia="en-US"/>
        </w:rPr>
        <w:t xml:space="preserve"> очисних споруд </w:t>
      </w:r>
      <w:r>
        <w:rPr>
          <w:rFonts w:eastAsia="Calibri" w:cs="Times New Roman" w:ascii="Times New Roman" w:hAnsi="Times New Roman"/>
          <w:sz w:val="24"/>
          <w:szCs w:val="24"/>
          <w:lang w:val="uk-UA" w:eastAsia="en-US"/>
        </w:rPr>
        <w:t>каналізації.</w:t>
      </w:r>
    </w:p>
    <w:p>
      <w:pPr>
        <w:pStyle w:val="Normal"/>
        <w:jc w:val="both"/>
        <w:rPr>
          <w:rFonts w:ascii="Times New Roman" w:hAnsi="Times New Roman"/>
          <w:sz w:val="24"/>
          <w:szCs w:val="24"/>
        </w:rPr>
      </w:pPr>
      <w:r>
        <w:rPr>
          <w:rFonts w:eastAsia="Calibri" w:cs="Times New Roman" w:ascii="Times New Roman" w:hAnsi="Times New Roman"/>
          <w:sz w:val="24"/>
          <w:szCs w:val="24"/>
          <w:lang w:val="uk-UA" w:eastAsia="en-US"/>
        </w:rPr>
        <w:tab/>
        <w:t xml:space="preserve">Одним з показників </w:t>
      </w:r>
      <w:r>
        <w:rPr>
          <w:rFonts w:eastAsia="Calibri" w:cs="Times New Roman" w:ascii="Times New Roman" w:hAnsi="Times New Roman"/>
          <w:sz w:val="24"/>
          <w:szCs w:val="24"/>
          <w:lang w:val="uk-UA" w:eastAsia="en-US"/>
        </w:rPr>
        <w:t xml:space="preserve">забруднення стічних вод </w:t>
      </w:r>
      <w:r>
        <w:rPr>
          <w:rFonts w:eastAsia="Calibri" w:cs="Times New Roman" w:ascii="Times New Roman" w:hAnsi="Times New Roman"/>
          <w:sz w:val="24"/>
          <w:szCs w:val="24"/>
          <w:lang w:val="uk-UA" w:eastAsia="en-US"/>
        </w:rPr>
        <w:t>є фосфати. Потрапляючи разом з стічними водами  в річки та водойми вони стають відмінним живильним середовищем для водоростей, які  починають буйно рости та цвісти, поглинаючи кисень, який необхідний для риби, раків та інших мешканців, забруднюючи водойми продуктами життєдіяльності. Через надлишок фосфатів у водоймах змінюється хімічний склад води.</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Найбільшу санітарну небезпеку представляють забруднення органічного походження. Органічні забруднення стічних вод є сприятливим середовищем для розвитку різноманітних мікроорганізмів і бактерій, які складають так зване біологічне забруднення стічних вод і зумовлюють їх епідемічну небезпеку.</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При перевищенні норм скиду жирів, хімічного споживання кисню та біологічного споживання кисню — відбувається зниження біологічної різноманітності  природної водойми.</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В значній мірі нафтопродукти та аніонних поверхнево активних речовин (АПАР) поступають в поверхневі водні об’єкти (річки і водосховища) з недостатньо очищеними промисловими стічними водами. Присутність у воді АПАР та нафтопродуктів призводить до зниження вмісту розчиненого у воді кисню за рахунок його витрат на окиснення вказаних речовин. АПАР сприяє утворенню стійкої піни, яка погіршує аерацію води та  гальмує процеси самоочищення. При певних концентраціях АПАР стимулює розмноженню сапрофітних бактерій, кишкової палички.</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Перевищення норм скиду синтетичних поверхнево-активних речовин призводять до утворення плівки на поверхні природної водойми, яка створює перепону газовому обміну між водоймою та атмосферою, що значно знижує концентрацію розчиненого кисню у воді та призводить до вимирання живих істот.</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 xml:space="preserve">Наявність великої кількості завислих речовин та жирів у стічних водах призводить до перевантаження пропускної спроможності каналізаційної мережі та очисних споруд. </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 xml:space="preserve">При перевищенні норм скиду хлоридів виникає загроза існування  риб та інших організмів у природній водоймі. </w:t>
      </w:r>
    </w:p>
    <w:p>
      <w:pPr>
        <w:pStyle w:val="Normal"/>
        <w:tabs>
          <w:tab w:val="left" w:pos="540" w:leader="none"/>
        </w:tabs>
        <w:jc w:val="both"/>
        <w:rPr>
          <w:rFonts w:ascii="Times New Roman" w:hAnsi="Times New Roman" w:eastAsia="Calibri" w:cs="Times New Roman"/>
          <w:lang w:val="uk-UA" w:eastAsia="en-US"/>
        </w:rPr>
      </w:pPr>
      <w:r>
        <w:rPr>
          <w:rFonts w:eastAsia="Calibri" w:cs="Times New Roman" w:ascii="Times New Roman" w:hAnsi="Times New Roman"/>
          <w:lang w:val="uk-UA" w:eastAsia="en-US"/>
        </w:rPr>
        <w:tab/>
        <w:t xml:space="preserve">Забруднення іонами важких металів порушує життєдіяльність водних організмів. </w:t>
      </w:r>
      <w:r>
        <w:rPr>
          <w:rFonts w:eastAsia="Calibri" w:cs="Times New Roman" w:ascii="Times New Roman" w:hAnsi="Times New Roman"/>
          <w:lang w:val="uk-UA" w:eastAsia="en-US"/>
        </w:rPr>
        <w:t>Вони</w:t>
      </w:r>
      <w:r>
        <w:rPr>
          <w:rFonts w:eastAsia="Calibri" w:cs="Times New Roman" w:ascii="Times New Roman" w:hAnsi="Times New Roman"/>
          <w:lang w:val="uk-UA" w:eastAsia="en-US"/>
        </w:rPr>
        <w:t xml:space="preserve"> поглинаються фітопланктоном та передаються по харчовому ланцюгу більш високоорганізованим організмам. Крім того, важкі метали при взаємодії з іншими сполуками перетворюються на отруйні сполуки.</w:t>
      </w:r>
    </w:p>
    <w:p>
      <w:pPr>
        <w:pStyle w:val="Normal"/>
        <w:tabs>
          <w:tab w:val="left" w:pos="540" w:leader="none"/>
        </w:tabs>
        <w:jc w:val="both"/>
        <w:rPr/>
      </w:pPr>
      <w:r>
        <w:rPr>
          <w:rFonts w:eastAsia="Calibri" w:cs="Times New Roman" w:ascii="Times New Roman" w:hAnsi="Times New Roman"/>
          <w:lang w:val="uk-UA" w:eastAsia="en-US"/>
        </w:rPr>
        <w:tab/>
        <w:t>Таким чином, о</w:t>
      </w:r>
      <w:r>
        <w:rPr>
          <w:rFonts w:eastAsia="Calibri"/>
          <w:lang w:val="uk-UA" w:eastAsia="en-US"/>
        </w:rPr>
        <w:t xml:space="preserve">сновними причинами забруднення водних басейнів є скидання неочищених і недостатньо очищених побутових і промислових стічних вод від </w:t>
      </w:r>
      <w:r>
        <w:rPr>
          <w:rFonts w:eastAsia="Calibri"/>
          <w:lang w:val="uk-UA" w:eastAsia="en-US"/>
        </w:rPr>
        <w:t>об'єктів</w:t>
      </w:r>
      <w:r>
        <w:rPr>
          <w:rFonts w:eastAsia="Calibri"/>
          <w:lang w:val="uk-UA" w:eastAsia="en-US"/>
        </w:rPr>
        <w:t xml:space="preserve"> господарчої діяльності, що являють собою в основному суміш промислових, </w:t>
      </w:r>
      <w:r>
        <w:rPr>
          <w:rFonts w:eastAsia="Calibri"/>
          <w:lang w:val="uk-UA" w:eastAsia="en-US"/>
        </w:rPr>
        <w:t>господарсько-побутових</w:t>
      </w:r>
      <w:r>
        <w:rPr>
          <w:rFonts w:eastAsia="Calibri"/>
          <w:lang w:val="uk-UA" w:eastAsia="en-US"/>
        </w:rPr>
        <w:t xml:space="preserve"> стічних та зливових вод з територій </w:t>
      </w:r>
      <w:r>
        <w:rPr>
          <w:rFonts w:eastAsia="Calibri"/>
          <w:lang w:val="uk-UA" w:eastAsia="en-US"/>
        </w:rPr>
        <w:t>об'єктів</w:t>
      </w:r>
      <w:r>
        <w:rPr>
          <w:rFonts w:eastAsia="Calibri"/>
          <w:lang w:val="uk-UA" w:eastAsia="en-US"/>
        </w:rPr>
        <w:t xml:space="preserve"> </w:t>
      </w:r>
      <w:r>
        <w:rPr>
          <w:rFonts w:eastAsia="Calibri"/>
          <w:lang w:val="uk-UA" w:eastAsia="en-US"/>
        </w:rPr>
        <w:t>господарювання</w:t>
      </w:r>
      <w:r>
        <w:rPr>
          <w:rFonts w:eastAsia="Calibri"/>
          <w:lang w:val="uk-UA" w:eastAsia="en-US"/>
        </w:rPr>
        <w:t xml:space="preserve"> і містять основну частину забруднень та речовин, що руйнують міські мережі водовідведення, перешкоджають роботі очисних споруд, забруднюють водойми і в цілому впливають на екологічний стан екосистеми. </w:t>
      </w:r>
    </w:p>
    <w:p>
      <w:pPr>
        <w:pStyle w:val="Normal"/>
        <w:jc w:val="both"/>
        <w:rPr>
          <w:rFonts w:ascii="Times New Roman" w:hAnsi="Times New Roman" w:eastAsia="Calibri"/>
          <w:sz w:val="24"/>
          <w:szCs w:val="24"/>
          <w:lang w:val="uk-UA" w:eastAsia="en-US"/>
        </w:rPr>
      </w:pPr>
      <w:r>
        <w:rPr>
          <w:rFonts w:eastAsia="Calibri" w:cs="Times New Roman" w:ascii="Times New Roman" w:hAnsi="Times New Roman"/>
          <w:sz w:val="24"/>
          <w:szCs w:val="24"/>
          <w:lang w:val="uk-UA" w:eastAsia="en-US"/>
        </w:rPr>
        <w:tab/>
        <w:t xml:space="preserve">Порушення споживачами режиму, </w:t>
      </w:r>
      <w:r>
        <w:rPr>
          <w:rFonts w:eastAsia="Calibri" w:cs="Times New Roman" w:ascii="Times New Roman" w:hAnsi="Times New Roman"/>
          <w:sz w:val="24"/>
          <w:szCs w:val="24"/>
          <w:lang w:val="uk-UA" w:eastAsia="en-US"/>
        </w:rPr>
        <w:t>об'ємів</w:t>
      </w:r>
      <w:r>
        <w:rPr>
          <w:rFonts w:eastAsia="Calibri" w:cs="Times New Roman" w:ascii="Times New Roman" w:hAnsi="Times New Roman"/>
          <w:sz w:val="24"/>
          <w:szCs w:val="24"/>
          <w:lang w:val="uk-UA" w:eastAsia="en-US"/>
        </w:rPr>
        <w:t xml:space="preserve"> та якості скидання стічних вод до систем централізованого водовідведення міста призводить до руйнування каналізаційних мереж та очисних споруд, виникнення аварійних ситуацій, що супроводжуються небезпекою для життя та </w:t>
      </w:r>
      <w:r>
        <w:rPr>
          <w:rFonts w:eastAsia="Calibri" w:cs="Times New Roman" w:ascii="Times New Roman" w:hAnsi="Times New Roman"/>
          <w:sz w:val="24"/>
          <w:szCs w:val="24"/>
          <w:lang w:val="uk-UA" w:eastAsia="en-US"/>
        </w:rPr>
        <w:t>здоров'я</w:t>
      </w:r>
      <w:r>
        <w:rPr>
          <w:rFonts w:eastAsia="Calibri" w:cs="Times New Roman" w:ascii="Times New Roman" w:hAnsi="Times New Roman"/>
          <w:sz w:val="24"/>
          <w:szCs w:val="24"/>
          <w:lang w:val="uk-UA" w:eastAsia="en-US"/>
        </w:rPr>
        <w:t xml:space="preserve"> людей, а також призводить до додаткових матеріальних і фінансових витрат,  нанесенням шкоди навколишньому природному середовищу і значними штрафними санкціями з боку природоохоронних органів, що, в свою чергу, не дає  можливості ефективно здійснювати господарську діяльність </w:t>
      </w:r>
      <w:r>
        <w:rPr>
          <w:rFonts w:eastAsia="Calibri" w:cs="Times New Roman" w:ascii="Times New Roman" w:hAnsi="Times New Roman"/>
          <w:sz w:val="24"/>
          <w:szCs w:val="24"/>
          <w:lang w:val="uk-UA" w:eastAsia="en-US"/>
        </w:rPr>
        <w:t>МКП “Миколаївводоканал”.</w:t>
      </w:r>
    </w:p>
    <w:p>
      <w:pPr>
        <w:pStyle w:val="Normal"/>
        <w:jc w:val="both"/>
        <w:rPr>
          <w:rFonts w:ascii="Times New Roman" w:hAnsi="Times New Roman" w:eastAsia="Calibri"/>
          <w:sz w:val="24"/>
          <w:szCs w:val="24"/>
          <w:lang w:val="uk-UA" w:eastAsia="en-US"/>
        </w:rPr>
      </w:pPr>
      <w:r>
        <w:rPr>
          <w:rFonts w:eastAsia="Calibri" w:cs="Times New Roman" w:ascii="Times New Roman" w:hAnsi="Times New Roman"/>
          <w:sz w:val="24"/>
          <w:szCs w:val="24"/>
          <w:lang w:val="uk-UA" w:eastAsia="en-US"/>
        </w:rPr>
        <w:tab/>
        <w:t xml:space="preserve"> Відповідно до Закону України «Про охорону навколишнього природного середовища» від 25.06.1991 р. № 1264-ХІІ із змінами, Закону України “Про  питну воду, питне водопостачання та водовідведення” </w:t>
      </w:r>
      <w:r>
        <w:rPr>
          <w:rFonts w:eastAsia="Calibri" w:cs="Times New Roman" w:ascii="Times New Roman" w:hAnsi="Times New Roman"/>
          <w:b w:val="false"/>
          <w:bCs w:val="false"/>
          <w:sz w:val="26"/>
          <w:szCs w:val="26"/>
          <w:u w:val="none"/>
          <w:lang w:val="uk-UA" w:eastAsia="en-US"/>
        </w:rPr>
        <w:t>від 10.01.2002 № 2918-ІІІ, із змінами,</w:t>
      </w:r>
      <w:r>
        <w:rPr>
          <w:rFonts w:eastAsia="Calibri" w:cs="Times New Roman" w:ascii="Times New Roman" w:hAnsi="Times New Roman"/>
          <w:sz w:val="24"/>
          <w:szCs w:val="24"/>
          <w:lang w:val="uk-UA" w:eastAsia="en-US"/>
        </w:rPr>
        <w:t xml:space="preserve"> Наказу Міністерства регіонального розвитку, будівництва та житлово-комунального господарства України від 01.12.2017 р. №</w:t>
      </w:r>
      <w:r>
        <w:rPr>
          <w:rFonts w:eastAsia="Calibri" w:cs="Cambria Math" w:ascii="Cambria Math" w:hAnsi="Cambria Math"/>
          <w:sz w:val="24"/>
          <w:szCs w:val="24"/>
          <w:lang w:val="uk-UA" w:eastAsia="en-US"/>
        </w:rPr>
        <w:t> </w:t>
      </w:r>
      <w:r>
        <w:rPr>
          <w:rFonts w:eastAsia="Calibri" w:cs="Times New Roman" w:ascii="Times New Roman" w:hAnsi="Times New Roman"/>
          <w:sz w:val="24"/>
          <w:szCs w:val="24"/>
          <w:lang w:val="uk-UA" w:eastAsia="en-US"/>
        </w:rPr>
        <w:t xml:space="preserve">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w:t>
      </w:r>
      <w:r>
        <w:rPr>
          <w:rFonts w:eastAsia="Calibri" w:cs="Times New Roman" w:ascii="Times New Roman" w:hAnsi="Times New Roman"/>
          <w:b w:val="false"/>
          <w:bCs w:val="false"/>
          <w:sz w:val="24"/>
          <w:szCs w:val="24"/>
          <w:lang w:val="uk-UA" w:eastAsia="en-US"/>
        </w:rPr>
        <w:t xml:space="preserve">силами Державного підприємства Науково-дослідний та конструкторсько-технологічний інститут міського господарства (м. Київ, вул. Урицького, 35) </w:t>
      </w:r>
      <w:r>
        <w:rPr>
          <w:rFonts w:eastAsia="Calibri" w:cs="Times New Roman" w:ascii="Times New Roman" w:hAnsi="Times New Roman"/>
          <w:b w:val="false"/>
          <w:bCs w:val="false"/>
          <w:sz w:val="24"/>
          <w:szCs w:val="24"/>
          <w:lang w:val="uk-UA" w:eastAsia="en-US"/>
        </w:rPr>
        <w:t xml:space="preserve"> </w:t>
      </w:r>
      <w:r>
        <w:rPr>
          <w:rFonts w:eastAsia="Calibri" w:cs="Times New Roman" w:ascii="Times New Roman" w:hAnsi="Times New Roman"/>
          <w:sz w:val="24"/>
          <w:szCs w:val="24"/>
          <w:lang w:val="uk-UA" w:eastAsia="en-US"/>
        </w:rPr>
        <w:t>бул</w:t>
      </w:r>
      <w:r>
        <w:rPr>
          <w:rFonts w:eastAsia="Calibri" w:cs="Times New Roman" w:ascii="Times New Roman" w:hAnsi="Times New Roman"/>
          <w:sz w:val="24"/>
          <w:szCs w:val="24"/>
          <w:lang w:val="uk-UA" w:eastAsia="en-US"/>
        </w:rPr>
        <w:t>и</w:t>
      </w:r>
      <w:r>
        <w:rPr>
          <w:rFonts w:eastAsia="Calibri" w:cs="Times New Roman" w:ascii="Times New Roman" w:hAnsi="Times New Roman"/>
          <w:sz w:val="24"/>
          <w:szCs w:val="24"/>
          <w:lang w:val="uk-UA" w:eastAsia="en-US"/>
        </w:rPr>
        <w:t xml:space="preserve">  розроблен</w:t>
      </w:r>
      <w:r>
        <w:rPr>
          <w:rFonts w:eastAsia="Calibri" w:cs="Times New Roman" w:ascii="Times New Roman" w:hAnsi="Times New Roman"/>
          <w:sz w:val="24"/>
          <w:szCs w:val="24"/>
          <w:lang w:val="uk-UA" w:eastAsia="en-US"/>
        </w:rPr>
        <w:t>і</w:t>
      </w:r>
      <w:r>
        <w:rPr>
          <w:rFonts w:eastAsia="Calibri" w:cs="Times New Roman" w:ascii="Times New Roman" w:hAnsi="Times New Roman"/>
          <w:sz w:val="24"/>
          <w:szCs w:val="24"/>
          <w:lang w:val="uk-UA" w:eastAsia="en-US"/>
        </w:rPr>
        <w:t xml:space="preserve"> місцеві “Правила приймання стічних вод до систем централізованого водовідведення міста </w:t>
      </w:r>
      <w:r>
        <w:rPr>
          <w:rFonts w:eastAsia="Calibri" w:cs="Times New Roman" w:ascii="Times New Roman" w:hAnsi="Times New Roman"/>
          <w:sz w:val="24"/>
          <w:szCs w:val="24"/>
          <w:lang w:val="uk-UA" w:eastAsia="en-US"/>
        </w:rPr>
        <w:t>Микола</w:t>
      </w:r>
      <w:r>
        <w:rPr>
          <w:rFonts w:eastAsia="Calibri" w:cs="Times New Roman" w:ascii="Times New Roman" w:hAnsi="Times New Roman"/>
          <w:sz w:val="24"/>
          <w:szCs w:val="24"/>
          <w:lang w:val="uk-UA" w:eastAsia="en-US"/>
        </w:rPr>
        <w:t>є</w:t>
      </w:r>
      <w:r>
        <w:rPr>
          <w:rFonts w:eastAsia="Calibri" w:cs="Times New Roman" w:ascii="Times New Roman" w:hAnsi="Times New Roman"/>
          <w:sz w:val="24"/>
          <w:szCs w:val="24"/>
          <w:lang w:val="uk-UA" w:eastAsia="en-US"/>
        </w:rPr>
        <w:t>в</w:t>
      </w:r>
      <w:r>
        <w:rPr>
          <w:rFonts w:eastAsia="Calibri" w:cs="Times New Roman" w:ascii="Times New Roman" w:hAnsi="Times New Roman"/>
          <w:sz w:val="24"/>
          <w:szCs w:val="24"/>
          <w:lang w:val="uk-UA" w:eastAsia="en-US"/>
        </w:rPr>
        <w:t xml:space="preserve">а” </w:t>
      </w:r>
      <w:r>
        <w:rPr>
          <w:rFonts w:eastAsia="Calibri" w:cs="Times New Roman" w:ascii="Times New Roman" w:hAnsi="Times New Roman"/>
          <w:sz w:val="24"/>
          <w:szCs w:val="24"/>
          <w:lang w:val="uk-UA" w:eastAsia="en-US"/>
        </w:rPr>
        <w:t xml:space="preserve">(надалі — місцеві </w:t>
      </w:r>
      <w:r>
        <w:rPr>
          <w:rFonts w:eastAsia="Calibri" w:cs="Times New Roman" w:ascii="Times New Roman" w:hAnsi="Times New Roman"/>
          <w:sz w:val="24"/>
          <w:szCs w:val="24"/>
          <w:lang w:val="uk-UA" w:eastAsia="en-US"/>
        </w:rPr>
        <w:t>Правила приймання</w:t>
      </w:r>
      <w:r>
        <w:rPr>
          <w:rFonts w:eastAsia="Calibri" w:cs="Times New Roman" w:ascii="Times New Roman" w:hAnsi="Times New Roman"/>
          <w:sz w:val="24"/>
          <w:szCs w:val="24"/>
          <w:lang w:val="uk-UA" w:eastAsia="en-US"/>
        </w:rPr>
        <w:t>)</w:t>
      </w:r>
      <w:r>
        <w:rPr>
          <w:rFonts w:eastAsia="Calibri" w:cs="Times New Roman" w:ascii="Times New Roman" w:hAnsi="Times New Roman"/>
          <w:sz w:val="24"/>
          <w:szCs w:val="24"/>
          <w:lang w:val="uk-UA" w:eastAsia="en-US"/>
        </w:rPr>
        <w:t xml:space="preserve">, які враховують місцеві особливості приймання та очищення стічних вод споживачів та визначають </w:t>
      </w:r>
      <w:r>
        <w:rPr>
          <w:rFonts w:eastAsia="Calibri" w:cs="Times New Roman" w:ascii="Times New Roman" w:hAnsi="Times New Roman"/>
          <w:sz w:val="24"/>
          <w:szCs w:val="24"/>
          <w:lang w:val="uk-UA" w:eastAsia="en-US"/>
        </w:rPr>
        <w:t xml:space="preserve">допустимі концентрації </w:t>
      </w:r>
      <w:r>
        <w:rPr>
          <w:rFonts w:eastAsia="Calibri" w:cs="Times New Roman" w:ascii="Times New Roman" w:hAnsi="Times New Roman"/>
          <w:sz w:val="24"/>
          <w:szCs w:val="24"/>
          <w:lang w:val="uk-UA" w:eastAsia="en-US"/>
        </w:rPr>
        <w:t xml:space="preserve"> забруднюючих речовин, що можуть скидатися до систем централізованого водовідведення міста.</w:t>
      </w:r>
    </w:p>
    <w:p>
      <w:pPr>
        <w:pStyle w:val="Normal"/>
        <w:jc w:val="both"/>
        <w:rPr/>
      </w:pPr>
      <w:r>
        <w:rPr>
          <w:rFonts w:ascii="Times New Roman" w:hAnsi="Times New Roman"/>
          <w:b w:val="false"/>
          <w:bCs w:val="false"/>
          <w:sz w:val="24"/>
          <w:szCs w:val="24"/>
          <w:lang w:val="uk-UA"/>
        </w:rPr>
        <w:tab/>
      </w:r>
      <w:r>
        <w:rPr>
          <w:rFonts w:eastAsia="Calibri"/>
          <w:lang w:val="uk-UA" w:eastAsia="en-US"/>
        </w:rPr>
        <w:t xml:space="preserve">Проект регуляторного акта розроблено з метою удосконалення правових та економічних засад діяльності у сфері централізованого водовідведення в місті </w:t>
      </w:r>
      <w:r>
        <w:rPr>
          <w:rFonts w:eastAsia="Calibri"/>
          <w:lang w:val="uk-UA" w:eastAsia="en-US"/>
        </w:rPr>
        <w:t>Миколаїв</w:t>
      </w:r>
      <w:r>
        <w:rPr>
          <w:rFonts w:eastAsia="Calibri"/>
          <w:lang w:val="uk-UA" w:eastAsia="en-US"/>
        </w:rPr>
        <w:t xml:space="preserve"> - одній з найважливіших сфер для забезпечення життєдіяльності населення міста та недопущення забруднення навколишнього природного середовища внаслідок неупорядкованого відведення стічних вод від промислових підприємств та об’єктів господарської діяльності. </w:t>
        <w:tab/>
      </w:r>
    </w:p>
    <w:p>
      <w:pPr>
        <w:pStyle w:val="Normal"/>
        <w:tabs>
          <w:tab w:val="left" w:pos="540" w:leader="none"/>
        </w:tabs>
        <w:jc w:val="both"/>
        <w:rPr>
          <w:rFonts w:eastAsia="Calibri"/>
          <w:lang w:val="uk-UA" w:eastAsia="en-US"/>
        </w:rPr>
      </w:pPr>
      <w:r>
        <w:rPr>
          <w:rFonts w:eastAsia="Calibri"/>
          <w:lang w:val="uk-UA" w:eastAsia="en-US"/>
        </w:rPr>
        <w:tab/>
        <w:tab/>
        <w:t xml:space="preserve">Завданням проекту рішення виконавчого комітету </w:t>
      </w:r>
      <w:r>
        <w:rPr>
          <w:rFonts w:eastAsia="Calibri"/>
          <w:lang w:val="uk-UA" w:eastAsia="en-US"/>
        </w:rPr>
        <w:t xml:space="preserve">Миколаївської </w:t>
      </w:r>
      <w:r>
        <w:rPr>
          <w:rFonts w:eastAsia="Calibri"/>
          <w:lang w:val="uk-UA" w:eastAsia="en-US"/>
        </w:rPr>
        <w:t>міської ради є встановлення споживачам нормативів скиду стічних вод, спрямовані на запобігання порушення у роботі мереж та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споживачами.</w:t>
      </w:r>
    </w:p>
    <w:p>
      <w:pPr>
        <w:pStyle w:val="Normal"/>
        <w:tabs>
          <w:tab w:val="left" w:pos="540" w:leader="none"/>
        </w:tabs>
        <w:jc w:val="both"/>
        <w:rPr>
          <w:rFonts w:ascii="Times New Roman" w:hAnsi="Times New Roman"/>
          <w:sz w:val="24"/>
          <w:szCs w:val="24"/>
        </w:rPr>
      </w:pPr>
      <w:r>
        <w:rPr>
          <w:rFonts w:eastAsia="Calibri" w:ascii="Times New Roman" w:hAnsi="Times New Roman"/>
          <w:b w:val="false"/>
          <w:bCs w:val="false"/>
          <w:sz w:val="24"/>
          <w:szCs w:val="24"/>
          <w:lang w:val="uk-UA" w:eastAsia="en-US"/>
        </w:rPr>
        <w:tab/>
        <w:tab/>
        <w:t>Серед основних завдань з</w:t>
      </w:r>
      <w:r>
        <w:rPr>
          <w:rFonts w:ascii="Times New Roman" w:hAnsi="Times New Roman"/>
          <w:b w:val="false"/>
          <w:bCs w:val="false"/>
          <w:sz w:val="24"/>
          <w:szCs w:val="24"/>
          <w:lang w:val="uk-UA"/>
        </w:rPr>
        <w:t xml:space="preserve">атвердження нових </w:t>
      </w:r>
      <w:r>
        <w:rPr>
          <w:rFonts w:ascii="Times New Roman" w:hAnsi="Times New Roman"/>
          <w:b w:val="false"/>
          <w:bCs w:val="false"/>
          <w:sz w:val="24"/>
          <w:szCs w:val="24"/>
          <w:lang w:val="uk-UA"/>
        </w:rPr>
        <w:t xml:space="preserve">місцевих </w:t>
      </w:r>
      <w:r>
        <w:rPr>
          <w:rFonts w:ascii="Times New Roman" w:hAnsi="Times New Roman"/>
          <w:b w:val="false"/>
          <w:bCs w:val="false"/>
          <w:sz w:val="24"/>
          <w:szCs w:val="24"/>
          <w:lang w:val="uk-UA"/>
        </w:rPr>
        <w:t>Правил приймання є удосконалення базової термінології, забезпечення виконання зобов’язань та реалізації прав учасників правовідносин у сфері централізованого водовідведення, реалізація принципів державної політики щодо додержання єдиних правил, норм, стандартів усіма суб’єктами відносин у сфері водовідведення, невідворотності відповідальності у разі порушення законодавства.</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Розуміючи фінансові витрати, необхідні для будівництва суб'єктами господарювання локальних очисних споруд,  </w:t>
      </w:r>
      <w:r>
        <w:rPr>
          <w:rFonts w:cs="Times New Roman" w:ascii="Times New Roman" w:hAnsi="Times New Roman"/>
          <w:b w:val="false"/>
          <w:bCs w:val="false"/>
          <w:sz w:val="24"/>
          <w:szCs w:val="24"/>
          <w:lang w:val="uk-UA"/>
        </w:rPr>
        <w:t>місцев</w:t>
      </w:r>
      <w:r>
        <w:rPr>
          <w:rFonts w:cs="Times New Roman" w:ascii="Times New Roman" w:hAnsi="Times New Roman"/>
          <w:b w:val="false"/>
          <w:bCs w:val="false"/>
          <w:sz w:val="24"/>
          <w:szCs w:val="24"/>
          <w:lang w:val="uk-UA"/>
        </w:rPr>
        <w:t>ими</w:t>
      </w:r>
      <w:r>
        <w:rPr>
          <w:rFonts w:cs="Times New Roman" w:ascii="Times New Roman" w:hAnsi="Times New Roman"/>
          <w:b w:val="false"/>
          <w:bCs w:val="false"/>
          <w:sz w:val="24"/>
          <w:szCs w:val="24"/>
          <w:lang w:val="uk-UA"/>
        </w:rPr>
        <w:t xml:space="preserve"> </w:t>
      </w:r>
      <w:r>
        <w:rPr>
          <w:rFonts w:cs="Times New Roman" w:ascii="Times New Roman" w:hAnsi="Times New Roman"/>
          <w:b w:val="false"/>
          <w:bCs w:val="false"/>
          <w:sz w:val="24"/>
          <w:szCs w:val="24"/>
          <w:lang w:val="uk-UA"/>
        </w:rPr>
        <w:t>П</w:t>
      </w:r>
      <w:r>
        <w:rPr>
          <w:rFonts w:cs="Times New Roman" w:ascii="Times New Roman" w:hAnsi="Times New Roman"/>
          <w:b w:val="false"/>
          <w:bCs w:val="false"/>
          <w:sz w:val="24"/>
          <w:szCs w:val="24"/>
          <w:lang w:val="uk-UA"/>
        </w:rPr>
        <w:t>равила</w:t>
      </w:r>
      <w:r>
        <w:rPr>
          <w:rFonts w:cs="Times New Roman" w:ascii="Times New Roman" w:hAnsi="Times New Roman"/>
          <w:b w:val="false"/>
          <w:bCs w:val="false"/>
          <w:sz w:val="24"/>
          <w:szCs w:val="24"/>
          <w:lang w:val="uk-UA"/>
        </w:rPr>
        <w:t>ми</w:t>
      </w:r>
      <w:r>
        <w:rPr>
          <w:rFonts w:cs="Times New Roman" w:ascii="Times New Roman" w:hAnsi="Times New Roman"/>
          <w:b w:val="false"/>
          <w:bCs w:val="false"/>
          <w:sz w:val="24"/>
          <w:szCs w:val="24"/>
          <w:lang w:val="uk-UA"/>
        </w:rPr>
        <w:t xml:space="preserve"> приймання </w:t>
      </w:r>
      <w:r>
        <w:rPr>
          <w:rFonts w:cs="Times New Roman" w:ascii="Times New Roman" w:hAnsi="Times New Roman"/>
          <w:b w:val="false"/>
          <w:bCs w:val="false"/>
          <w:sz w:val="24"/>
          <w:szCs w:val="24"/>
          <w:lang w:val="uk-UA"/>
        </w:rPr>
        <w:t xml:space="preserve">передбачено </w:t>
      </w:r>
      <w:r>
        <w:rPr>
          <w:rFonts w:cs="Times New Roman" w:ascii="Times New Roman" w:hAnsi="Times New Roman"/>
          <w:b w:val="false"/>
          <w:bCs w:val="false"/>
          <w:color w:val="000000"/>
          <w:sz w:val="24"/>
          <w:szCs w:val="24"/>
          <w:lang w:val="uk-UA" w:eastAsia="uk-UA"/>
        </w:rPr>
        <w:t xml:space="preserve">термін виконання заходів для доведення якості </w:t>
      </w:r>
      <w:r>
        <w:rPr>
          <w:rFonts w:cs="Times New Roman" w:ascii="Times New Roman" w:hAnsi="Times New Roman"/>
          <w:b w:val="false"/>
          <w:bCs w:val="false"/>
          <w:color w:val="000000"/>
          <w:sz w:val="24"/>
          <w:szCs w:val="24"/>
          <w:lang w:val="uk-UA" w:eastAsia="uk-UA"/>
        </w:rPr>
        <w:t>стічних вод</w:t>
      </w:r>
      <w:r>
        <w:rPr>
          <w:rFonts w:cs="Times New Roman" w:ascii="Times New Roman" w:hAnsi="Times New Roman"/>
          <w:b w:val="false"/>
          <w:bCs w:val="false"/>
          <w:color w:val="000000"/>
          <w:sz w:val="24"/>
          <w:szCs w:val="24"/>
          <w:lang w:val="uk-UA" w:eastAsia="uk-UA"/>
        </w:rPr>
        <w:t xml:space="preserve"> до вимог </w:t>
      </w:r>
      <w:r>
        <w:rPr>
          <w:rFonts w:cs="Times New Roman" w:ascii="Times New Roman" w:hAnsi="Times New Roman"/>
          <w:b w:val="false"/>
          <w:bCs w:val="false"/>
          <w:color w:val="000000"/>
          <w:sz w:val="24"/>
          <w:szCs w:val="24"/>
          <w:lang w:val="uk-UA" w:eastAsia="uk-UA"/>
        </w:rPr>
        <w:t>гранично-допустимих к</w:t>
      </w:r>
      <w:r>
        <w:rPr>
          <w:rFonts w:cs="Times New Roman" w:ascii="Times New Roman" w:hAnsi="Times New Roman"/>
          <w:b w:val="false"/>
          <w:bCs w:val="false"/>
          <w:color w:val="000000"/>
          <w:sz w:val="24"/>
          <w:szCs w:val="24"/>
          <w:lang w:val="uk-UA" w:eastAsia="uk-UA"/>
        </w:rPr>
        <w:t>о</w:t>
      </w:r>
      <w:r>
        <w:rPr>
          <w:rFonts w:cs="Times New Roman" w:ascii="Times New Roman" w:hAnsi="Times New Roman"/>
          <w:b w:val="false"/>
          <w:bCs w:val="false"/>
          <w:color w:val="000000"/>
          <w:sz w:val="24"/>
          <w:szCs w:val="24"/>
          <w:lang w:val="uk-UA" w:eastAsia="uk-UA"/>
        </w:rPr>
        <w:t>нцентрацій</w:t>
      </w:r>
      <w:r>
        <w:rPr>
          <w:rFonts w:cs="Times New Roman" w:ascii="Times New Roman" w:hAnsi="Times New Roman"/>
          <w:b w:val="false"/>
          <w:bCs w:val="false"/>
          <w:color w:val="000000"/>
          <w:sz w:val="24"/>
          <w:szCs w:val="24"/>
          <w:lang w:val="uk-UA" w:eastAsia="uk-UA"/>
        </w:rPr>
        <w:t xml:space="preserve">, який має бути обґрунтованим та не може перевищувати 3 років, </w:t>
      </w:r>
      <w:r>
        <w:rPr>
          <w:rFonts w:cs="Times New Roman" w:ascii="Times New Roman" w:hAnsi="Times New Roman"/>
          <w:b w:val="false"/>
          <w:bCs w:val="false"/>
          <w:color w:val="000000"/>
          <w:sz w:val="24"/>
          <w:szCs w:val="24"/>
          <w:lang w:val="uk-UA" w:eastAsia="uk-UA"/>
        </w:rPr>
        <w:t xml:space="preserve">та встановлено </w:t>
      </w:r>
      <w:r>
        <w:rPr>
          <w:rFonts w:cs="Times New Roman" w:ascii="Times New Roman" w:hAnsi="Times New Roman"/>
          <w:b w:val="false"/>
          <w:bCs/>
          <w:color w:val="000000"/>
          <w:sz w:val="24"/>
          <w:szCs w:val="24"/>
          <w:lang w:val="uk-UA" w:eastAsia="uk-UA"/>
        </w:rPr>
        <w:t xml:space="preserve">розмір додаткової оплати за приймання понаднормативно забруднених стоків, який становити 60% від плати </w:t>
      </w:r>
      <w:r>
        <w:rPr>
          <w:rFonts w:cs="Times New Roman" w:ascii="Times New Roman" w:hAnsi="Times New Roman"/>
          <w:b w:val="false"/>
          <w:bCs/>
          <w:color w:val="000000"/>
          <w:sz w:val="24"/>
          <w:szCs w:val="24"/>
          <w:lang w:val="uk-UA" w:eastAsia="uk-UA"/>
        </w:rPr>
        <w:t xml:space="preserve">за скид стічних вод до системи централізованого водовідведення при порушенні вимог щодо якості їх скидання </w:t>
      </w:r>
      <w:r>
        <w:rPr>
          <w:rFonts w:cs="Times New Roman" w:ascii="Times New Roman" w:hAnsi="Times New Roman"/>
          <w:b w:val="false"/>
          <w:bCs/>
          <w:color w:val="000000"/>
          <w:sz w:val="24"/>
          <w:szCs w:val="24"/>
          <w:lang w:val="uk-UA" w:eastAsia="uk-UA"/>
        </w:rPr>
        <w:t>(Додаток 1 до цього Аналізу регуляторного впливу).</w:t>
      </w:r>
    </w:p>
    <w:p>
      <w:pPr>
        <w:pStyle w:val="Normal"/>
        <w:jc w:val="center"/>
        <w:rPr>
          <w:rFonts w:ascii="Times New Roman" w:hAnsi="Times New Roman" w:cs="Times New Roman"/>
          <w:b w:val="false"/>
          <w:b w:val="false"/>
          <w:bCs/>
          <w:color w:val="000000"/>
          <w:sz w:val="24"/>
          <w:szCs w:val="24"/>
          <w:lang w:val="uk-UA" w:eastAsia="uk-UA"/>
        </w:rPr>
      </w:pPr>
      <w:r>
        <w:rPr>
          <w:rFonts w:cs="Times New Roman" w:ascii="Times New Roman" w:hAnsi="Times New Roman"/>
          <w:b w:val="false"/>
          <w:bCs/>
          <w:color w:val="000000"/>
          <w:sz w:val="24"/>
          <w:szCs w:val="24"/>
          <w:lang w:val="uk-UA" w:eastAsia="uk-UA"/>
        </w:rPr>
      </w:r>
    </w:p>
    <w:p>
      <w:pPr>
        <w:pStyle w:val="Normal"/>
        <w:jc w:val="center"/>
        <w:rPr>
          <w:rFonts w:ascii="Times New Roman" w:hAnsi="Times New Roman"/>
          <w:b/>
          <w:b/>
          <w:bCs/>
          <w:sz w:val="24"/>
          <w:szCs w:val="24"/>
        </w:rPr>
      </w:pPr>
      <w:r>
        <w:rPr>
          <w:rFonts w:cs="Times New Roman" w:ascii="Times New Roman" w:hAnsi="Times New Roman"/>
          <w:b/>
          <w:bCs/>
          <w:color w:val="000000"/>
          <w:sz w:val="24"/>
          <w:szCs w:val="24"/>
          <w:lang w:val="uk-UA" w:eastAsia="uk-UA"/>
        </w:rPr>
        <w:t>Г</w:t>
      </w:r>
      <w:r>
        <w:rPr>
          <w:rFonts w:cs="Times New Roman" w:ascii="Times New Roman" w:hAnsi="Times New Roman"/>
          <w:b/>
          <w:bCs/>
          <w:color w:val="000000"/>
          <w:sz w:val="24"/>
          <w:szCs w:val="24"/>
          <w:lang w:val="uk-UA" w:eastAsia="uk-UA"/>
        </w:rPr>
        <w:t>рупи (підгрупи), на які проблеми справляє вплив:</w:t>
      </w:r>
    </w:p>
    <w:p>
      <w:pPr>
        <w:pStyle w:val="Normal"/>
        <w:jc w:val="center"/>
        <w:rPr>
          <w:rFonts w:ascii="Times New Roman" w:hAnsi="Times New Roman" w:cs="Times New Roman"/>
          <w:b/>
          <w:b/>
          <w:bCs/>
          <w:color w:val="000000"/>
          <w:sz w:val="24"/>
          <w:szCs w:val="24"/>
          <w:lang w:val="uk-UA" w:eastAsia="uk-UA"/>
        </w:rPr>
      </w:pPr>
      <w:r>
        <w:rPr>
          <w:rFonts w:cs="Times New Roman" w:ascii="Times New Roman" w:hAnsi="Times New Roman"/>
          <w:b/>
          <w:bCs/>
          <w:color w:val="000000"/>
          <w:sz w:val="24"/>
          <w:szCs w:val="24"/>
          <w:lang w:val="uk-UA" w:eastAsia="uk-UA"/>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401"/>
        <w:gridCol w:w="3402"/>
        <w:gridCol w:w="3402"/>
      </w:tblGrid>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4"/>
                <w:szCs w:val="24"/>
              </w:rPr>
            </w:pPr>
            <w:r>
              <w:rPr>
                <w:rFonts w:cs="Times New Roman" w:ascii="Times New Roman" w:hAnsi="Times New Roman"/>
                <w:b w:val="false"/>
                <w:bCs/>
                <w:color w:val="000000"/>
                <w:sz w:val="24"/>
                <w:szCs w:val="24"/>
                <w:lang w:val="uk-UA" w:eastAsia="uk-UA"/>
              </w:rPr>
              <w:t>Г</w:t>
            </w:r>
            <w:r>
              <w:rPr>
                <w:rFonts w:cs="Times New Roman" w:ascii="Times New Roman" w:hAnsi="Times New Roman"/>
                <w:b w:val="false"/>
                <w:bCs/>
                <w:color w:val="000000"/>
                <w:sz w:val="24"/>
                <w:szCs w:val="24"/>
                <w:lang w:val="uk-UA" w:eastAsia="uk-UA"/>
              </w:rPr>
              <w:t>рупи (підгрупи)</w:t>
            </w:r>
          </w:p>
        </w:tc>
        <w:tc>
          <w:tcPr>
            <w:tcW w:w="3402"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Так</w:t>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Ні</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Громадяни</w:t>
            </w:r>
          </w:p>
        </w:tc>
        <w:tc>
          <w:tcPr>
            <w:tcW w:w="3402"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Держава</w:t>
            </w:r>
          </w:p>
        </w:tc>
        <w:tc>
          <w:tcPr>
            <w:tcW w:w="3402"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Суб’єкти господарюван</w:t>
            </w:r>
            <w:r>
              <w:rPr>
                <w:rFonts w:ascii="Times New Roman" w:hAnsi="Times New Roman"/>
                <w:sz w:val="24"/>
                <w:szCs w:val="24"/>
              </w:rPr>
              <w:t>н</w:t>
            </w:r>
            <w:r>
              <w:rPr>
                <w:rFonts w:ascii="Times New Roman" w:hAnsi="Times New Roman"/>
                <w:sz w:val="24"/>
                <w:szCs w:val="24"/>
              </w:rPr>
              <w:t>я</w:t>
            </w:r>
          </w:p>
        </w:tc>
        <w:tc>
          <w:tcPr>
            <w:tcW w:w="3402"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У тому числі суб’єкти малого підприємництва</w:t>
            </w:r>
          </w:p>
        </w:tc>
        <w:tc>
          <w:tcPr>
            <w:tcW w:w="3402"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w:t>
            </w:r>
          </w:p>
        </w:tc>
      </w:tr>
    </w:tbl>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tab/>
      </w:r>
      <w:r>
        <w:rPr>
          <w:rFonts w:ascii="Times New Roman" w:hAnsi="Times New Roman"/>
          <w:b w:val="false"/>
          <w:bCs w:val="false"/>
          <w:sz w:val="24"/>
          <w:szCs w:val="24"/>
        </w:rPr>
        <w:t>Проблема, яку пропонується врегулювати в результаті прийняття регуляторного акта, є важливою і не може бути розв’язано за допомогою ринкових механізмів, оскільки потребує законодавчого врегулювання.</w:t>
      </w:r>
    </w:p>
    <w:p>
      <w:pPr>
        <w:pStyle w:val="Normal"/>
        <w:ind w:left="0" w:right="0" w:firstLine="73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left="0" w:right="0" w:firstLine="737"/>
        <w:jc w:val="both"/>
        <w:rPr>
          <w:b/>
          <w:b/>
          <w:bCs/>
        </w:rPr>
      </w:pPr>
      <w:r>
        <w:rPr>
          <w:rFonts w:ascii="Times New Roman" w:hAnsi="Times New Roman"/>
          <w:b/>
          <w:bCs/>
          <w:sz w:val="24"/>
          <w:szCs w:val="24"/>
        </w:rPr>
        <w:t xml:space="preserve">2. Цілі </w:t>
      </w:r>
      <w:r>
        <w:rPr>
          <w:rFonts w:ascii="Times New Roman" w:hAnsi="Times New Roman"/>
          <w:b/>
          <w:bCs/>
          <w:sz w:val="24"/>
          <w:szCs w:val="24"/>
        </w:rPr>
        <w:t>державного регулювання</w:t>
      </w:r>
    </w:p>
    <w:p>
      <w:pPr>
        <w:pStyle w:val="Normal"/>
        <w:ind w:left="0" w:right="0" w:firstLine="737"/>
        <w:jc w:val="both"/>
        <w:rPr>
          <w:rFonts w:ascii="Times New Roman" w:hAnsi="Times New Roman"/>
          <w:b/>
          <w:b/>
          <w:bCs/>
          <w:sz w:val="24"/>
          <w:szCs w:val="24"/>
        </w:rPr>
      </w:pPr>
      <w:r>
        <w:rPr>
          <w:rFonts w:ascii="Times New Roman" w:hAnsi="Times New Roman"/>
          <w:b/>
          <w:bCs/>
          <w:sz w:val="24"/>
          <w:szCs w:val="24"/>
        </w:rPr>
      </w:r>
    </w:p>
    <w:p>
      <w:pPr>
        <w:pStyle w:val="Normal"/>
        <w:ind w:left="0" w:right="0" w:hanging="0"/>
        <w:jc w:val="both"/>
        <w:rPr/>
      </w:pPr>
      <w:r>
        <w:rPr>
          <w:b w:val="false"/>
          <w:bCs w:val="false"/>
          <w:color w:val="000000"/>
          <w:sz w:val="24"/>
          <w:szCs w:val="24"/>
          <w:lang w:val="uk-UA"/>
        </w:rPr>
        <w:tab/>
        <w:t xml:space="preserve">Необхідність затвердження </w:t>
      </w:r>
      <w:r>
        <w:rPr>
          <w:b w:val="false"/>
          <w:bCs w:val="false"/>
          <w:color w:val="000000"/>
          <w:sz w:val="24"/>
          <w:szCs w:val="24"/>
          <w:lang w:val="uk-UA"/>
        </w:rPr>
        <w:t xml:space="preserve">місцевих </w:t>
      </w:r>
      <w:r>
        <w:rPr>
          <w:b w:val="false"/>
          <w:bCs w:val="false"/>
          <w:color w:val="000000"/>
          <w:sz w:val="24"/>
          <w:szCs w:val="24"/>
          <w:lang w:val="uk-UA"/>
        </w:rPr>
        <w:t>Правил приймання зумовлена змінами до Закону України “Про питну воду, питне водопостачання та водовідведення”, внесеними Законом України від 18.05.2017 р. № 2047-</w:t>
      </w:r>
      <w:r>
        <w:rPr>
          <w:b w:val="false"/>
          <w:bCs w:val="false"/>
          <w:color w:val="000000"/>
          <w:sz w:val="24"/>
          <w:szCs w:val="24"/>
          <w:lang w:val="en-US"/>
        </w:rPr>
        <w:t>VIII.</w:t>
      </w:r>
    </w:p>
    <w:p>
      <w:pPr>
        <w:pStyle w:val="Normal"/>
        <w:ind w:left="0" w:right="0" w:firstLine="737"/>
        <w:jc w:val="both"/>
        <w:rPr>
          <w:rFonts w:ascii="Times New Roman" w:hAnsi="Times New Roman"/>
          <w:sz w:val="24"/>
          <w:szCs w:val="24"/>
        </w:rPr>
      </w:pPr>
      <w:r>
        <w:rPr>
          <w:rFonts w:ascii="Times New Roman" w:hAnsi="Times New Roman"/>
          <w:b w:val="false"/>
          <w:bCs w:val="false"/>
          <w:color w:val="000000"/>
          <w:sz w:val="24"/>
          <w:szCs w:val="24"/>
          <w:lang w:val="uk-UA"/>
        </w:rPr>
        <w:t xml:space="preserve">Водночас, місцеві </w:t>
      </w:r>
      <w:r>
        <w:rPr>
          <w:rFonts w:ascii="Times New Roman" w:hAnsi="Times New Roman"/>
          <w:b w:val="false"/>
          <w:bCs w:val="false"/>
          <w:color w:val="000000"/>
          <w:sz w:val="24"/>
          <w:szCs w:val="24"/>
          <w:lang w:val="uk-UA"/>
        </w:rPr>
        <w:t>П</w:t>
      </w:r>
      <w:r>
        <w:rPr>
          <w:rFonts w:ascii="Times New Roman" w:hAnsi="Times New Roman"/>
          <w:b w:val="false"/>
          <w:bCs w:val="false"/>
          <w:color w:val="000000"/>
          <w:sz w:val="24"/>
          <w:szCs w:val="24"/>
          <w:lang w:val="uk-UA"/>
        </w:rPr>
        <w:t>равила приймання приймаються на підставі та з урахуванням вимог “</w:t>
      </w:r>
      <w:r>
        <w:rPr>
          <w:rFonts w:eastAsia="Calibri" w:cs="Times New Roman" w:ascii="Times New Roman" w:hAnsi="Times New Roman"/>
          <w:b w:val="false"/>
          <w:bCs w:val="false"/>
          <w:color w:val="000000"/>
          <w:sz w:val="24"/>
          <w:szCs w:val="24"/>
          <w:lang w:val="uk-UA" w:eastAsia="en-US"/>
        </w:rPr>
        <w:t xml:space="preserve">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w:t>
      </w:r>
      <w:r>
        <w:rPr>
          <w:rFonts w:ascii="Times New Roman" w:hAnsi="Times New Roman"/>
          <w:b w:val="false"/>
          <w:bCs w:val="false"/>
          <w:color w:val="000000"/>
          <w:sz w:val="24"/>
          <w:szCs w:val="24"/>
          <w:lang w:val="uk-UA"/>
        </w:rPr>
        <w:t>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3. Визначення та оцінка альтернативних способів досягнення цілей.</w:t>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3.1. Визначення альтернативних способів</w:t>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059"/>
        <w:gridCol w:w="7146"/>
      </w:tblGrid>
      <w:tr>
        <w:trPr/>
        <w:tc>
          <w:tcPr>
            <w:tcW w:w="3059"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 xml:space="preserve">Вид </w:t>
            </w:r>
            <w:r>
              <w:rPr>
                <w:rFonts w:cs="Times New Roman" w:ascii="Times New Roman" w:hAnsi="Times New Roman"/>
                <w:b w:val="false"/>
                <w:bCs w:val="false"/>
                <w:color w:val="000000"/>
                <w:sz w:val="24"/>
                <w:szCs w:val="24"/>
              </w:rPr>
              <w:t>альтернативи</w:t>
            </w:r>
          </w:p>
        </w:tc>
        <w:tc>
          <w:tcPr>
            <w:tcW w:w="71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 xml:space="preserve">Опис </w:t>
            </w:r>
            <w:r>
              <w:rPr>
                <w:rFonts w:cs="Times New Roman" w:ascii="Times New Roman" w:hAnsi="Times New Roman"/>
                <w:b w:val="false"/>
                <w:bCs w:val="false"/>
                <w:color w:val="000000"/>
                <w:sz w:val="24"/>
                <w:szCs w:val="24"/>
              </w:rPr>
              <w:t>альтернативи</w:t>
            </w:r>
          </w:p>
        </w:tc>
      </w:tr>
      <w:tr>
        <w:trPr/>
        <w:tc>
          <w:tcPr>
            <w:tcW w:w="3059"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71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Не забезпечується досягнення цілі щодо створення умов для попередження порушень у роботі систем централізованого водовідведення та очищення стічних вод, підвищення ефективності роботи та забезпечення належної експлуатації систем водовідведення, а також охорони навколишнього природного середовища від забруднень скидами стічних вод, що в свою чергу є гарантуванням безпеки життя і здоров’я людини</w:t>
            </w:r>
          </w:p>
        </w:tc>
      </w:tr>
      <w:tr>
        <w:trPr/>
        <w:tc>
          <w:tcPr>
            <w:tcW w:w="3059"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Прийняття регуляторного акта</w:t>
            </w:r>
          </w:p>
        </w:tc>
        <w:tc>
          <w:tcPr>
            <w:tcW w:w="71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 xml:space="preserve">Прийняття проекту регуляторного акта забезпечить створення належних правових підстав та умов для безпечного і безперебійного функціонування систем централізованого </w:t>
            </w:r>
            <w:r>
              <w:rPr>
                <w:rFonts w:ascii="Times New Roman" w:hAnsi="Times New Roman"/>
                <w:sz w:val="24"/>
                <w:szCs w:val="24"/>
              </w:rPr>
              <w:t xml:space="preserve">водовідведення та очищення стічних вод </w:t>
            </w:r>
            <w:r>
              <w:rPr>
                <w:rFonts w:ascii="Times New Roman" w:hAnsi="Times New Roman"/>
                <w:sz w:val="24"/>
                <w:szCs w:val="24"/>
              </w:rPr>
              <w:t xml:space="preserve">міста Миколаєва. </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3.2. Оцінка вибраних альтернативних способів досягнення цілей.</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3.2.1. </w:t>
      </w:r>
      <w:r>
        <w:rPr>
          <w:rFonts w:cs="Times New Roman" w:ascii="Times New Roman" w:hAnsi="Times New Roman"/>
          <w:b w:val="false"/>
          <w:bCs w:val="false"/>
          <w:color w:val="000000"/>
          <w:sz w:val="24"/>
          <w:szCs w:val="24"/>
        </w:rPr>
        <w:t>Оцінка впливу на сферу інтересів держави</w:t>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778"/>
        <w:gridCol w:w="4480"/>
        <w:gridCol w:w="2947"/>
      </w:tblGrid>
      <w:tr>
        <w:trPr/>
        <w:tc>
          <w:tcPr>
            <w:tcW w:w="2778"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 xml:space="preserve">Вид </w:t>
            </w:r>
            <w:r>
              <w:rPr>
                <w:rFonts w:cs="Times New Roman" w:ascii="Times New Roman" w:hAnsi="Times New Roman"/>
                <w:b w:val="false"/>
                <w:bCs w:val="false"/>
                <w:color w:val="000000"/>
                <w:sz w:val="24"/>
                <w:szCs w:val="24"/>
              </w:rPr>
              <w:t>альтернативи</w:t>
            </w:r>
          </w:p>
        </w:tc>
        <w:tc>
          <w:tcPr>
            <w:tcW w:w="4480"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Вигоди</w:t>
            </w:r>
          </w:p>
        </w:tc>
        <w:tc>
          <w:tcPr>
            <w:tcW w:w="29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Витрати</w:t>
            </w:r>
          </w:p>
        </w:tc>
      </w:tr>
      <w:tr>
        <w:trPr/>
        <w:tc>
          <w:tcPr>
            <w:tcW w:w="2778"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4480"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c>
          <w:tcPr>
            <w:tcW w:w="294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Альтернатива є неприйнятною, оскільки не забезпечує досягнення поставленої мети</w:t>
            </w:r>
          </w:p>
        </w:tc>
      </w:tr>
      <w:tr>
        <w:trPr/>
        <w:tc>
          <w:tcPr>
            <w:tcW w:w="2778"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Прийняття регуляторного акта</w:t>
            </w:r>
          </w:p>
        </w:tc>
        <w:tc>
          <w:tcPr>
            <w:tcW w:w="4480"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1. Реалізація державної політики у сфері водовідведення</w:t>
            </w:r>
          </w:p>
          <w:p>
            <w:pPr>
              <w:pStyle w:val="Style19"/>
              <w:jc w:val="left"/>
              <w:rPr>
                <w:rFonts w:ascii="Times New Roman" w:hAnsi="Times New Roman"/>
                <w:sz w:val="24"/>
                <w:szCs w:val="24"/>
              </w:rPr>
            </w:pPr>
            <w:r>
              <w:rPr>
                <w:rFonts w:ascii="Times New Roman" w:hAnsi="Times New Roman"/>
                <w:sz w:val="24"/>
                <w:szCs w:val="24"/>
              </w:rPr>
              <w:t xml:space="preserve">2. Виконання вимог Закону України </w:t>
            </w:r>
            <w:r>
              <w:rPr>
                <w:rFonts w:cs="Times New Roman" w:ascii="Times New Roman" w:hAnsi="Times New Roman"/>
                <w:sz w:val="24"/>
                <w:szCs w:val="24"/>
              </w:rPr>
              <w:t>“Про питну воду, питне водопостачання та водовідведення”</w:t>
            </w:r>
          </w:p>
          <w:p>
            <w:pPr>
              <w:pStyle w:val="Style19"/>
              <w:jc w:val="left"/>
              <w:rPr>
                <w:rFonts w:ascii="Times New Roman" w:hAnsi="Times New Roman"/>
                <w:sz w:val="24"/>
                <w:szCs w:val="24"/>
              </w:rPr>
            </w:pPr>
            <w:r>
              <w:rPr>
                <w:rFonts w:cs="Times New Roman" w:ascii="Times New Roman" w:hAnsi="Times New Roman"/>
                <w:sz w:val="24"/>
                <w:szCs w:val="24"/>
              </w:rPr>
              <w:t>3.  Виконання вимог наказу Міністерства регіонального розвитку, будівництва та житлово-комунального господарства України від 01.12.2017 №</w:t>
            </w:r>
            <w:r>
              <w:rPr>
                <w:rFonts w:cs="Times New Roman" w:ascii="Times New Roman" w:hAnsi="Times New Roman"/>
                <w:sz w:val="24"/>
                <w:szCs w:val="24"/>
                <w:lang w:val="en-US"/>
              </w:rPr>
              <w:t> </w:t>
            </w:r>
            <w:r>
              <w:rPr>
                <w:rFonts w:cs="Times New Roman" w:ascii="Times New Roman" w:hAnsi="Times New Roman"/>
                <w:sz w:val="24"/>
                <w:szCs w:val="24"/>
              </w:rPr>
              <w:t>316</w:t>
            </w:r>
          </w:p>
        </w:tc>
        <w:tc>
          <w:tcPr>
            <w:tcW w:w="294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sz w:val="24"/>
          <w:szCs w:val="24"/>
        </w:rPr>
      </w:pPr>
      <w:r>
        <w:rPr>
          <w:rFonts w:cs="Times New Roman" w:ascii="Times New Roman" w:hAnsi="Times New Roman"/>
          <w:b w:val="false"/>
          <w:bCs w:val="false"/>
          <w:color w:val="000000"/>
          <w:sz w:val="24"/>
          <w:szCs w:val="24"/>
        </w:rPr>
        <w:t>3.2.2.</w:t>
      </w:r>
      <w:r>
        <w:rPr>
          <w:rFonts w:cs="Times New Roman" w:ascii="Times New Roman" w:hAnsi="Times New Roman"/>
          <w:b w:val="false"/>
          <w:bCs w:val="false"/>
          <w:color w:val="000000"/>
          <w:sz w:val="24"/>
          <w:szCs w:val="24"/>
        </w:rPr>
        <w:t xml:space="preserve">Оцінка впливу на сферу інтересів </w:t>
      </w:r>
      <w:r>
        <w:rPr>
          <w:rFonts w:cs="Times New Roman" w:ascii="Times New Roman" w:hAnsi="Times New Roman"/>
          <w:b w:val="false"/>
          <w:bCs w:val="false"/>
          <w:color w:val="000000"/>
          <w:sz w:val="24"/>
          <w:szCs w:val="24"/>
        </w:rPr>
        <w:t>громадян</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401"/>
        <w:gridCol w:w="3402"/>
        <w:gridCol w:w="3402"/>
      </w:tblGrid>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 xml:space="preserve">Вид </w:t>
            </w:r>
            <w:r>
              <w:rPr>
                <w:rFonts w:cs="Times New Roman" w:ascii="Times New Roman" w:hAnsi="Times New Roman"/>
                <w:b w:val="false"/>
                <w:bCs w:val="false"/>
                <w:color w:val="000000"/>
                <w:sz w:val="24"/>
                <w:szCs w:val="24"/>
              </w:rPr>
              <w:t>альтернативи</w:t>
            </w:r>
          </w:p>
        </w:tc>
        <w:tc>
          <w:tcPr>
            <w:tcW w:w="3402"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Вигоди</w:t>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Витрати</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3402"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r>
      <w:tr>
        <w:trPr/>
        <w:tc>
          <w:tcPr>
            <w:tcW w:w="3401"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Прийняття регуляторного акта</w:t>
            </w:r>
          </w:p>
        </w:tc>
        <w:tc>
          <w:tcPr>
            <w:tcW w:w="3402"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rPr>
              <w:t xml:space="preserve">роект регуляторного акта </w:t>
            </w:r>
            <w:r>
              <w:rPr>
                <w:rFonts w:ascii="Times New Roman" w:hAnsi="Times New Roman"/>
                <w:sz w:val="24"/>
                <w:szCs w:val="24"/>
              </w:rPr>
              <w:t>не стосується прав та обов’язків громадян</w:t>
            </w:r>
          </w:p>
        </w:tc>
        <w:tc>
          <w:tcPr>
            <w:tcW w:w="34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sz w:val="24"/>
          <w:szCs w:val="24"/>
        </w:rPr>
      </w:pPr>
      <w:r>
        <w:rPr>
          <w:rFonts w:cs="Times New Roman" w:ascii="Times New Roman" w:hAnsi="Times New Roman"/>
          <w:b w:val="false"/>
          <w:bCs w:val="false"/>
          <w:color w:val="000000"/>
          <w:sz w:val="24"/>
          <w:szCs w:val="24"/>
        </w:rPr>
        <w:t>3.2.3.</w:t>
      </w:r>
      <w:r>
        <w:rPr>
          <w:rFonts w:cs="Times New Roman" w:ascii="Times New Roman" w:hAnsi="Times New Roman"/>
          <w:b w:val="false"/>
          <w:bCs w:val="false"/>
          <w:color w:val="000000"/>
          <w:sz w:val="24"/>
          <w:szCs w:val="24"/>
        </w:rPr>
        <w:t xml:space="preserve">Оцінка впливу на сферу інтересів </w:t>
      </w:r>
      <w:r>
        <w:rPr>
          <w:rFonts w:cs="Times New Roman" w:ascii="Times New Roman" w:hAnsi="Times New Roman"/>
          <w:b w:val="false"/>
          <w:bCs w:val="false"/>
          <w:color w:val="000000"/>
          <w:sz w:val="24"/>
          <w:szCs w:val="24"/>
        </w:rPr>
        <w:t>суб'єкт</w:t>
      </w:r>
      <w:r>
        <w:rPr>
          <w:rFonts w:cs="Times New Roman" w:ascii="Times New Roman" w:hAnsi="Times New Roman"/>
          <w:b w:val="false"/>
          <w:bCs w:val="false"/>
          <w:color w:val="000000"/>
          <w:sz w:val="24"/>
          <w:szCs w:val="24"/>
        </w:rPr>
        <w:t>ів</w:t>
      </w:r>
      <w:r>
        <w:rPr>
          <w:rFonts w:cs="Times New Roman" w:ascii="Times New Roman" w:hAnsi="Times New Roman"/>
          <w:b w:val="false"/>
          <w:bCs w:val="false"/>
          <w:color w:val="000000"/>
          <w:sz w:val="24"/>
          <w:szCs w:val="24"/>
        </w:rPr>
        <w:t xml:space="preserve"> господарювання</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084"/>
        <w:gridCol w:w="1299"/>
        <w:gridCol w:w="1138"/>
        <w:gridCol w:w="1868"/>
        <w:gridCol w:w="1816"/>
      </w:tblGrid>
      <w:tr>
        <w:trPr/>
        <w:tc>
          <w:tcPr>
            <w:tcW w:w="4084"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Показник</w:t>
            </w:r>
          </w:p>
        </w:tc>
        <w:tc>
          <w:tcPr>
            <w:tcW w:w="1299"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Великі</w:t>
            </w:r>
          </w:p>
        </w:tc>
        <w:tc>
          <w:tcPr>
            <w:tcW w:w="1138"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Середні</w:t>
            </w:r>
          </w:p>
        </w:tc>
        <w:tc>
          <w:tcPr>
            <w:tcW w:w="1868"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 xml:space="preserve">Малі </w:t>
            </w:r>
            <w:r>
              <w:rPr>
                <w:rFonts w:ascii="Times New Roman" w:hAnsi="Times New Roman"/>
                <w:sz w:val="24"/>
                <w:szCs w:val="24"/>
              </w:rPr>
              <w:t>та мікро-</w:t>
            </w:r>
          </w:p>
        </w:tc>
        <w:tc>
          <w:tcPr>
            <w:tcW w:w="1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Разом</w:t>
            </w:r>
          </w:p>
        </w:tc>
      </w:tr>
      <w:tr>
        <w:trPr/>
        <w:tc>
          <w:tcPr>
            <w:tcW w:w="4084" w:type="dxa"/>
            <w:tcBorders>
              <w:left w:val="single" w:sz="2" w:space="0" w:color="000000"/>
              <w:bottom w:val="single" w:sz="2" w:space="0" w:color="000000"/>
              <w:insideH w:val="single" w:sz="2" w:space="0" w:color="000000"/>
            </w:tcBorders>
            <w:shd w:fill="auto" w:val="clear"/>
          </w:tcPr>
          <w:p>
            <w:pPr>
              <w:pStyle w:val="Normal"/>
              <w:jc w:val="both"/>
              <w:rPr>
                <w:rFonts w:ascii="Times New Roman" w:hAnsi="Times New Roman"/>
                <w:sz w:val="24"/>
                <w:szCs w:val="24"/>
              </w:rPr>
            </w:pPr>
            <w:r>
              <w:rPr>
                <w:rFonts w:ascii="Times New Roman" w:hAnsi="Times New Roman"/>
                <w:sz w:val="24"/>
                <w:szCs w:val="24"/>
              </w:rPr>
              <w:t>Кількість суб'єктів господарювання, що підпадають під дію регулювання, одиниць</w:t>
            </w:r>
          </w:p>
        </w:tc>
        <w:tc>
          <w:tcPr>
            <w:tcW w:w="1299"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6</w:t>
            </w:r>
          </w:p>
        </w:tc>
        <w:tc>
          <w:tcPr>
            <w:tcW w:w="113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1</w:t>
            </w:r>
          </w:p>
        </w:tc>
        <w:tc>
          <w:tcPr>
            <w:tcW w:w="186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588</w:t>
            </w:r>
            <w:r>
              <w:rPr>
                <w:rFonts w:ascii="Times New Roman" w:hAnsi="Times New Roman"/>
                <w:sz w:val="24"/>
                <w:szCs w:val="24"/>
              </w:rPr>
              <w:t>4</w:t>
            </w:r>
          </w:p>
        </w:tc>
        <w:tc>
          <w:tcPr>
            <w:tcW w:w="18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6071</w:t>
            </w:r>
          </w:p>
        </w:tc>
      </w:tr>
      <w:tr>
        <w:trPr/>
        <w:tc>
          <w:tcPr>
            <w:tcW w:w="4084" w:type="dxa"/>
            <w:tcBorders>
              <w:left w:val="single" w:sz="2" w:space="0" w:color="000000"/>
              <w:bottom w:val="single" w:sz="2" w:space="0" w:color="000000"/>
              <w:insideH w:val="single" w:sz="2" w:space="0" w:color="000000"/>
            </w:tcBorders>
            <w:shd w:fill="auto" w:val="clear"/>
          </w:tcPr>
          <w:p>
            <w:pPr>
              <w:pStyle w:val="Style19"/>
              <w:jc w:val="both"/>
              <w:rPr>
                <w:rFonts w:ascii="Times New Roman" w:hAnsi="Times New Roman"/>
                <w:sz w:val="24"/>
                <w:szCs w:val="24"/>
              </w:rPr>
            </w:pPr>
            <w:r>
              <w:rPr>
                <w:rFonts w:ascii="Times New Roman" w:hAnsi="Times New Roman"/>
                <w:sz w:val="24"/>
                <w:szCs w:val="24"/>
              </w:rPr>
              <w:t>Питома вага групи у загальної кількості, відсотків</w:t>
            </w:r>
          </w:p>
        </w:tc>
        <w:tc>
          <w:tcPr>
            <w:tcW w:w="1299"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0,1</w:t>
            </w:r>
          </w:p>
        </w:tc>
        <w:tc>
          <w:tcPr>
            <w:tcW w:w="113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2,98</w:t>
            </w:r>
          </w:p>
        </w:tc>
        <w:tc>
          <w:tcPr>
            <w:tcW w:w="186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96,92</w:t>
            </w:r>
          </w:p>
        </w:tc>
        <w:tc>
          <w:tcPr>
            <w:tcW w:w="181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100</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04"/>
        <w:gridCol w:w="4594"/>
        <w:gridCol w:w="3007"/>
      </w:tblGrid>
      <w:tr>
        <w:trPr/>
        <w:tc>
          <w:tcPr>
            <w:tcW w:w="2604"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 xml:space="preserve">Вид </w:t>
            </w:r>
            <w:r>
              <w:rPr>
                <w:rFonts w:cs="Times New Roman" w:ascii="Times New Roman" w:hAnsi="Times New Roman"/>
                <w:b w:val="false"/>
                <w:bCs w:val="false"/>
                <w:color w:val="000000"/>
                <w:sz w:val="24"/>
                <w:szCs w:val="24"/>
              </w:rPr>
              <w:t>альтернативи</w:t>
            </w:r>
          </w:p>
        </w:tc>
        <w:tc>
          <w:tcPr>
            <w:tcW w:w="4594"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Вигоди</w:t>
            </w:r>
          </w:p>
        </w:tc>
        <w:tc>
          <w:tcPr>
            <w:tcW w:w="30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Витрати</w:t>
            </w:r>
          </w:p>
        </w:tc>
      </w:tr>
      <w:tr>
        <w:trPr/>
        <w:tc>
          <w:tcPr>
            <w:tcW w:w="2604"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4594"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sz w:val="24"/>
                <w:szCs w:val="24"/>
              </w:rPr>
            </w:pPr>
            <w:r>
              <w:rPr>
                <w:rFonts w:ascii="Times New Roman" w:hAnsi="Times New Roman"/>
                <w:sz w:val="24"/>
                <w:szCs w:val="24"/>
              </w:rPr>
              <w:t>Відсутні</w:t>
            </w:r>
          </w:p>
        </w:tc>
        <w:tc>
          <w:tcPr>
            <w:tcW w:w="30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sz w:val="24"/>
                <w:szCs w:val="24"/>
              </w:rPr>
            </w:pPr>
            <w:r>
              <w:rPr>
                <w:rFonts w:cs="Times New Roman" w:ascii="Times New Roman" w:hAnsi="Times New Roman"/>
                <w:b w:val="false"/>
                <w:bCs w:val="false"/>
                <w:color w:val="000000"/>
                <w:sz w:val="24"/>
                <w:szCs w:val="24"/>
              </w:rPr>
              <w:t>А</w:t>
            </w:r>
            <w:r>
              <w:rPr>
                <w:rFonts w:cs="Times New Roman" w:ascii="Times New Roman" w:hAnsi="Times New Roman"/>
                <w:b w:val="false"/>
                <w:bCs w:val="false"/>
                <w:color w:val="000000"/>
                <w:sz w:val="24"/>
                <w:szCs w:val="24"/>
              </w:rPr>
              <w:t>льтернатив</w:t>
            </w:r>
            <w:r>
              <w:rPr>
                <w:rFonts w:cs="Times New Roman" w:ascii="Times New Roman" w:hAnsi="Times New Roman"/>
                <w:b w:val="false"/>
                <w:bCs w:val="false"/>
                <w:color w:val="000000"/>
                <w:sz w:val="24"/>
                <w:szCs w:val="24"/>
              </w:rPr>
              <w:t>а є неприйнятною, оскільки не відповідає вимогам  чинного законодавства України</w:t>
            </w:r>
          </w:p>
        </w:tc>
      </w:tr>
      <w:tr>
        <w:trPr/>
        <w:tc>
          <w:tcPr>
            <w:tcW w:w="2604"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 xml:space="preserve">Прийняття </w:t>
            </w:r>
            <w:r>
              <w:rPr>
                <w:rFonts w:ascii="Times New Roman" w:hAnsi="Times New Roman"/>
                <w:sz w:val="24"/>
                <w:szCs w:val="24"/>
              </w:rPr>
              <w:t xml:space="preserve">проекту </w:t>
            </w:r>
            <w:r>
              <w:rPr>
                <w:rFonts w:ascii="Times New Roman" w:hAnsi="Times New Roman"/>
                <w:sz w:val="24"/>
                <w:szCs w:val="24"/>
              </w:rPr>
              <w:t>регуляторного акта</w:t>
            </w:r>
          </w:p>
        </w:tc>
        <w:tc>
          <w:tcPr>
            <w:tcW w:w="4594"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 xml:space="preserve">Прийняття проекту </w:t>
            </w:r>
            <w:r>
              <w:rPr>
                <w:rFonts w:ascii="Times New Roman" w:hAnsi="Times New Roman"/>
                <w:sz w:val="24"/>
                <w:szCs w:val="24"/>
              </w:rPr>
              <w:t xml:space="preserve">регуляторного акта </w:t>
            </w:r>
            <w:r>
              <w:rPr>
                <w:rFonts w:ascii="Times New Roman" w:hAnsi="Times New Roman"/>
                <w:sz w:val="24"/>
                <w:szCs w:val="24"/>
              </w:rPr>
              <w:t xml:space="preserve">заключатиметься в </w:t>
            </w:r>
            <w:r>
              <w:rPr>
                <w:rFonts w:ascii="Times New Roman" w:hAnsi="Times New Roman"/>
                <w:sz w:val="24"/>
                <w:szCs w:val="24"/>
              </w:rPr>
              <w:t xml:space="preserve">виконанні </w:t>
            </w:r>
            <w:r>
              <w:rPr>
                <w:rFonts w:cs="Times New Roman" w:ascii="Times New Roman" w:hAnsi="Times New Roman"/>
                <w:sz w:val="24"/>
                <w:szCs w:val="24"/>
              </w:rPr>
              <w:t xml:space="preserve"> вимог наказу Міністерства регіонального розвитку, будівництва та житлово-комунального господарства України від 01.12.2017 №</w:t>
            </w:r>
            <w:r>
              <w:rPr>
                <w:rFonts w:cs="Times New Roman" w:ascii="Times New Roman" w:hAnsi="Times New Roman"/>
                <w:sz w:val="24"/>
                <w:szCs w:val="24"/>
                <w:lang w:val="en-US"/>
              </w:rPr>
              <w:t> </w:t>
            </w:r>
            <w:r>
              <w:rPr>
                <w:rFonts w:cs="Times New Roman" w:ascii="Times New Roman" w:hAnsi="Times New Roman"/>
                <w:sz w:val="24"/>
                <w:szCs w:val="24"/>
              </w:rPr>
              <w:t>316</w:t>
            </w:r>
          </w:p>
        </w:tc>
        <w:tc>
          <w:tcPr>
            <w:tcW w:w="30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 xml:space="preserve">Прийняття </w:t>
            </w:r>
            <w:r>
              <w:rPr>
                <w:rFonts w:ascii="Times New Roman" w:hAnsi="Times New Roman"/>
                <w:sz w:val="24"/>
                <w:szCs w:val="24"/>
              </w:rPr>
              <w:t xml:space="preserve">проекту </w:t>
            </w:r>
            <w:r>
              <w:rPr>
                <w:rFonts w:ascii="Times New Roman" w:hAnsi="Times New Roman"/>
                <w:sz w:val="24"/>
                <w:szCs w:val="24"/>
              </w:rPr>
              <w:t xml:space="preserve">регуляторного акта </w:t>
            </w:r>
            <w:r>
              <w:rPr>
                <w:rFonts w:ascii="Times New Roman" w:hAnsi="Times New Roman"/>
                <w:sz w:val="24"/>
                <w:szCs w:val="24"/>
              </w:rPr>
              <w:t>не потребує витрат</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102"/>
        <w:gridCol w:w="5103"/>
      </w:tblGrid>
      <w:tr>
        <w:trPr/>
        <w:tc>
          <w:tcPr>
            <w:tcW w:w="5102" w:type="dxa"/>
            <w:tcBorders>
              <w:top w:val="single" w:sz="2" w:space="0" w:color="000000"/>
              <w:left w:val="single" w:sz="2" w:space="0" w:color="000000"/>
              <w:bottom w:val="single" w:sz="2" w:space="0" w:color="000000"/>
              <w:insideH w:val="single" w:sz="2" w:space="0" w:color="000000"/>
            </w:tcBorders>
            <w:shd w:fill="auto" w:val="clear"/>
          </w:tcPr>
          <w:p>
            <w:pPr>
              <w:pStyle w:val="Style19"/>
              <w:jc w:val="both"/>
              <w:rPr>
                <w:rFonts w:ascii="Times New Roman" w:hAnsi="Times New Roman" w:cs="Times New Roman"/>
                <w:sz w:val="24"/>
                <w:szCs w:val="24"/>
              </w:rPr>
            </w:pPr>
            <w:r>
              <w:rPr>
                <w:rFonts w:cs="Times New Roman" w:ascii="Times New Roman" w:hAnsi="Times New Roman"/>
                <w:sz w:val="24"/>
                <w:szCs w:val="24"/>
              </w:rPr>
              <w:t>Сумарні витрати за альтернативами</w:t>
            </w:r>
          </w:p>
        </w:tc>
        <w:tc>
          <w:tcPr>
            <w:tcW w:w="5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cs="Times New Roman"/>
                <w:sz w:val="24"/>
                <w:szCs w:val="24"/>
              </w:rPr>
            </w:pPr>
            <w:r>
              <w:rPr>
                <w:rFonts w:cs="Times New Roman" w:ascii="Times New Roman" w:hAnsi="Times New Roman"/>
                <w:sz w:val="24"/>
                <w:szCs w:val="24"/>
              </w:rPr>
              <w:t>Сума витрат, гривень</w:t>
            </w:r>
          </w:p>
        </w:tc>
      </w:tr>
      <w:tr>
        <w:trPr/>
        <w:tc>
          <w:tcPr>
            <w:tcW w:w="5102"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51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cs="Times New Roman"/>
                <w:sz w:val="24"/>
                <w:szCs w:val="24"/>
              </w:rPr>
            </w:pPr>
            <w:r>
              <w:rPr>
                <w:rFonts w:cs="Times New Roman" w:ascii="Times New Roman" w:hAnsi="Times New Roman"/>
                <w:sz w:val="24"/>
                <w:szCs w:val="24"/>
              </w:rPr>
              <w:t>Витрати відсутні</w:t>
            </w:r>
          </w:p>
        </w:tc>
      </w:tr>
      <w:tr>
        <w:trPr/>
        <w:tc>
          <w:tcPr>
            <w:tcW w:w="5102"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 xml:space="preserve">Прийняття </w:t>
            </w:r>
            <w:r>
              <w:rPr>
                <w:rFonts w:ascii="Times New Roman" w:hAnsi="Times New Roman"/>
                <w:sz w:val="24"/>
                <w:szCs w:val="24"/>
              </w:rPr>
              <w:t xml:space="preserve">проекту </w:t>
            </w:r>
            <w:r>
              <w:rPr>
                <w:rFonts w:ascii="Times New Roman" w:hAnsi="Times New Roman"/>
                <w:sz w:val="24"/>
                <w:szCs w:val="24"/>
              </w:rPr>
              <w:t>регуляторного акта</w:t>
            </w:r>
          </w:p>
        </w:tc>
        <w:tc>
          <w:tcPr>
            <w:tcW w:w="51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 xml:space="preserve">Прийняття </w:t>
            </w:r>
            <w:r>
              <w:rPr>
                <w:rFonts w:cs="Times New Roman" w:ascii="Times New Roman" w:hAnsi="Times New Roman"/>
                <w:sz w:val="24"/>
                <w:szCs w:val="24"/>
              </w:rPr>
              <w:t xml:space="preserve">проекту </w:t>
            </w:r>
            <w:r>
              <w:rPr>
                <w:rFonts w:cs="Times New Roman" w:ascii="Times New Roman" w:hAnsi="Times New Roman"/>
                <w:sz w:val="24"/>
                <w:szCs w:val="24"/>
              </w:rPr>
              <w:t xml:space="preserve">регуляторного акта </w:t>
            </w:r>
            <w:r>
              <w:rPr>
                <w:rFonts w:cs="Times New Roman" w:ascii="Times New Roman" w:hAnsi="Times New Roman"/>
                <w:sz w:val="24"/>
                <w:szCs w:val="24"/>
              </w:rPr>
              <w:t>не потребує витрат</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4. Вибір найбільш оптимального альтернативного способу досягнення цілей</w:t>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945"/>
        <w:gridCol w:w="2438"/>
        <w:gridCol w:w="4822"/>
      </w:tblGrid>
      <w:tr>
        <w:trPr/>
        <w:tc>
          <w:tcPr>
            <w:tcW w:w="2945"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Рейтинг результативності (досягнення цілей під час вирішення проблеми)</w:t>
            </w:r>
          </w:p>
        </w:tc>
        <w:tc>
          <w:tcPr>
            <w:tcW w:w="2438"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 xml:space="preserve">Бал результативності </w:t>
            </w:r>
          </w:p>
          <w:p>
            <w:pPr>
              <w:pStyle w:val="Style19"/>
              <w:jc w:val="center"/>
              <w:rPr>
                <w:rFonts w:ascii="Times New Roman" w:hAnsi="Times New Roman" w:cs="Times New Roman"/>
                <w:sz w:val="24"/>
                <w:szCs w:val="24"/>
              </w:rPr>
            </w:pPr>
            <w:r>
              <w:rPr>
                <w:rFonts w:cs="Times New Roman" w:ascii="Times New Roman" w:hAnsi="Times New Roman"/>
                <w:sz w:val="24"/>
                <w:szCs w:val="24"/>
              </w:rPr>
              <w:t>(за чотирибальною системою оцінки)</w:t>
            </w:r>
          </w:p>
        </w:tc>
        <w:tc>
          <w:tcPr>
            <w:tcW w:w="48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Коментарі щодо присвоєння відповідного бала</w:t>
            </w:r>
          </w:p>
        </w:tc>
      </w:tr>
      <w:tr>
        <w:trPr/>
        <w:tc>
          <w:tcPr>
            <w:tcW w:w="2945"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Залишення існуючої на даний момент ситуації без змін</w:t>
            </w:r>
          </w:p>
        </w:tc>
        <w:tc>
          <w:tcPr>
            <w:tcW w:w="243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1</w:t>
            </w:r>
          </w:p>
        </w:tc>
        <w:tc>
          <w:tcPr>
            <w:tcW w:w="48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both"/>
              <w:rPr>
                <w:rFonts w:ascii="Times New Roman" w:hAnsi="Times New Roman" w:cs="Times New Roman"/>
                <w:sz w:val="24"/>
                <w:szCs w:val="24"/>
              </w:rPr>
            </w:pPr>
            <w:r>
              <w:rPr>
                <w:rFonts w:cs="Times New Roman" w:ascii="Times New Roman" w:hAnsi="Times New Roman"/>
                <w:sz w:val="24"/>
                <w:szCs w:val="24"/>
              </w:rPr>
              <w:t>У разі залишення існуючої на даний момент ситуації без змін не забезпечить досягнення поставленої мети</w:t>
            </w:r>
          </w:p>
        </w:tc>
      </w:tr>
      <w:tr>
        <w:trPr/>
        <w:tc>
          <w:tcPr>
            <w:tcW w:w="2945"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sz w:val="24"/>
                <w:szCs w:val="24"/>
              </w:rPr>
            </w:pPr>
            <w:r>
              <w:rPr>
                <w:rFonts w:ascii="Times New Roman" w:hAnsi="Times New Roman"/>
                <w:sz w:val="24"/>
                <w:szCs w:val="24"/>
              </w:rPr>
              <w:t xml:space="preserve">Прийняття </w:t>
            </w:r>
            <w:r>
              <w:rPr>
                <w:rFonts w:ascii="Times New Roman" w:hAnsi="Times New Roman"/>
                <w:sz w:val="24"/>
                <w:szCs w:val="24"/>
              </w:rPr>
              <w:t xml:space="preserve">проекту </w:t>
            </w:r>
            <w:r>
              <w:rPr>
                <w:rFonts w:ascii="Times New Roman" w:hAnsi="Times New Roman"/>
                <w:sz w:val="24"/>
                <w:szCs w:val="24"/>
              </w:rPr>
              <w:t>регуляторного акта</w:t>
            </w:r>
          </w:p>
        </w:tc>
        <w:tc>
          <w:tcPr>
            <w:tcW w:w="2438" w:type="dxa"/>
            <w:tcBorders>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4</w:t>
            </w:r>
          </w:p>
        </w:tc>
        <w:tc>
          <w:tcPr>
            <w:tcW w:w="48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 xml:space="preserve">Прийняття </w:t>
            </w:r>
            <w:r>
              <w:rPr>
                <w:rFonts w:cs="Times New Roman" w:ascii="Times New Roman" w:hAnsi="Times New Roman"/>
                <w:sz w:val="24"/>
                <w:szCs w:val="24"/>
              </w:rPr>
              <w:t xml:space="preserve">проекту регуляторного акта </w:t>
            </w:r>
            <w:r>
              <w:rPr>
                <w:rFonts w:cs="Times New Roman" w:ascii="Times New Roman" w:hAnsi="Times New Roman"/>
                <w:sz w:val="24"/>
                <w:szCs w:val="24"/>
              </w:rPr>
              <w:t xml:space="preserve">забезпечить створення належних правових підстав та умов для безпечного й безперебійного функціонування систем централізованого водовідведення та очищення стічних вод міста Миколаєва, а також виконання вимог Закону України </w:t>
            </w:r>
            <w:r>
              <w:rPr>
                <w:rFonts w:cs="Times New Roman" w:ascii="Times New Roman" w:hAnsi="Times New Roman"/>
                <w:sz w:val="24"/>
                <w:szCs w:val="24"/>
              </w:rPr>
              <w:t>“Про питну воду, питне водопостачання та водовідведення”</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49"/>
        <w:gridCol w:w="3912"/>
        <w:gridCol w:w="1981"/>
        <w:gridCol w:w="1763"/>
      </w:tblGrid>
      <w:tr>
        <w:trPr/>
        <w:tc>
          <w:tcPr>
            <w:tcW w:w="2549"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Рейтинг результативності</w:t>
            </w:r>
          </w:p>
        </w:tc>
        <w:tc>
          <w:tcPr>
            <w:tcW w:w="3912"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Вигоди (підсумок)</w:t>
            </w:r>
          </w:p>
        </w:tc>
        <w:tc>
          <w:tcPr>
            <w:tcW w:w="1981" w:type="dxa"/>
            <w:tcBorders>
              <w:top w:val="single" w:sz="2" w:space="0" w:color="000000"/>
              <w:left w:val="single" w:sz="2" w:space="0" w:color="000000"/>
              <w:bottom w:val="single" w:sz="2" w:space="0" w:color="000000"/>
              <w:insideH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Витрати (підсумок)</w:t>
            </w:r>
          </w:p>
        </w:tc>
        <w:tc>
          <w:tcPr>
            <w:tcW w:w="1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center"/>
              <w:rPr>
                <w:rFonts w:ascii="Times New Roman" w:hAnsi="Times New Roman" w:cs="Times New Roman"/>
                <w:sz w:val="24"/>
                <w:szCs w:val="24"/>
              </w:rPr>
            </w:pPr>
            <w:r>
              <w:rPr>
                <w:rFonts w:cs="Times New Roman" w:ascii="Times New Roman" w:hAnsi="Times New Roman"/>
                <w:sz w:val="24"/>
                <w:szCs w:val="24"/>
              </w:rPr>
              <w:t xml:space="preserve">Обґрунтовування відповідного місця альтернативи у рейтингу </w:t>
            </w:r>
          </w:p>
        </w:tc>
      </w:tr>
      <w:tr>
        <w:trPr/>
        <w:tc>
          <w:tcPr>
            <w:tcW w:w="2549"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 xml:space="preserve">Прийняття </w:t>
            </w:r>
            <w:r>
              <w:rPr>
                <w:rFonts w:cs="Times New Roman" w:ascii="Times New Roman" w:hAnsi="Times New Roman"/>
                <w:sz w:val="24"/>
                <w:szCs w:val="24"/>
              </w:rPr>
              <w:t xml:space="preserve">проекту </w:t>
            </w:r>
            <w:r>
              <w:rPr>
                <w:rFonts w:cs="Times New Roman" w:ascii="Times New Roman" w:hAnsi="Times New Roman"/>
                <w:sz w:val="24"/>
                <w:szCs w:val="24"/>
              </w:rPr>
              <w:t>регуляторного акта</w:t>
            </w:r>
          </w:p>
        </w:tc>
        <w:tc>
          <w:tcPr>
            <w:tcW w:w="3912"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1. Реалізація державної політики у сфері водопровідно -каналізаційного господарства;</w:t>
            </w:r>
          </w:p>
          <w:p>
            <w:pPr>
              <w:pStyle w:val="Style19"/>
              <w:jc w:val="left"/>
              <w:rPr>
                <w:rFonts w:ascii="Times New Roman" w:hAnsi="Times New Roman" w:cs="Times New Roman"/>
                <w:sz w:val="24"/>
                <w:szCs w:val="24"/>
              </w:rPr>
            </w:pPr>
            <w:r>
              <w:rPr>
                <w:rFonts w:cs="Times New Roman" w:ascii="Times New Roman" w:hAnsi="Times New Roman"/>
                <w:sz w:val="24"/>
                <w:szCs w:val="24"/>
              </w:rPr>
              <w:t>2. Удосконалення нормативно-правової бази;</w:t>
            </w:r>
          </w:p>
          <w:p>
            <w:pPr>
              <w:pStyle w:val="Style19"/>
              <w:jc w:val="left"/>
              <w:rPr>
                <w:rFonts w:ascii="Times New Roman" w:hAnsi="Times New Roman" w:cs="Times New Roman"/>
                <w:sz w:val="24"/>
                <w:szCs w:val="24"/>
              </w:rPr>
            </w:pPr>
            <w:r>
              <w:rPr>
                <w:rFonts w:cs="Times New Roman" w:ascii="Times New Roman" w:hAnsi="Times New Roman"/>
                <w:sz w:val="24"/>
                <w:szCs w:val="24"/>
              </w:rPr>
              <w:t>3. Створення умов для попередження порушень у роботі систем централізованого водовідведення та очищення стічних вод, підвищення ефективності роботи та забезпечення належної експлуатації систем водовідведення, а також охорони навколишнього середовища від забруднення скидами стічних вод, що в свою чергу є гарантуванням безпеки життя і здоров’я людини</w:t>
            </w:r>
          </w:p>
        </w:tc>
        <w:tc>
          <w:tcPr>
            <w:tcW w:w="198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п</w:t>
            </w:r>
            <w:r>
              <w:rPr>
                <w:rFonts w:cs="Times New Roman" w:ascii="Times New Roman" w:hAnsi="Times New Roman"/>
                <w:sz w:val="24"/>
                <w:szCs w:val="24"/>
              </w:rPr>
              <w:t xml:space="preserve">рийняття </w:t>
            </w:r>
            <w:r>
              <w:rPr>
                <w:rFonts w:cs="Times New Roman" w:ascii="Times New Roman" w:hAnsi="Times New Roman"/>
                <w:sz w:val="24"/>
                <w:szCs w:val="24"/>
              </w:rPr>
              <w:t xml:space="preserve"> </w:t>
            </w:r>
            <w:r>
              <w:rPr>
                <w:rFonts w:cs="Times New Roman" w:ascii="Times New Roman" w:hAnsi="Times New Roman"/>
                <w:sz w:val="24"/>
                <w:szCs w:val="24"/>
              </w:rPr>
              <w:t xml:space="preserve">регуляторного акта </w:t>
            </w:r>
            <w:r>
              <w:rPr>
                <w:rFonts w:cs="Times New Roman" w:ascii="Times New Roman" w:hAnsi="Times New Roman"/>
                <w:sz w:val="24"/>
                <w:szCs w:val="24"/>
              </w:rPr>
              <w:t>держава не нестиме ніяких матеріальних та інших витрат</w:t>
            </w:r>
          </w:p>
        </w:tc>
        <w:tc>
          <w:tcPr>
            <w:tcW w:w="17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п</w:t>
            </w:r>
            <w:r>
              <w:rPr>
                <w:rFonts w:cs="Times New Roman" w:ascii="Times New Roman" w:hAnsi="Times New Roman"/>
                <w:sz w:val="24"/>
                <w:szCs w:val="24"/>
              </w:rPr>
              <w:t xml:space="preserve">рийняття </w:t>
            </w:r>
            <w:r>
              <w:rPr>
                <w:rFonts w:cs="Times New Roman" w:ascii="Times New Roman" w:hAnsi="Times New Roman"/>
                <w:sz w:val="24"/>
                <w:szCs w:val="24"/>
              </w:rPr>
              <w:t xml:space="preserve"> </w:t>
            </w:r>
            <w:r>
              <w:rPr>
                <w:rFonts w:cs="Times New Roman" w:ascii="Times New Roman" w:hAnsi="Times New Roman"/>
                <w:sz w:val="24"/>
                <w:szCs w:val="24"/>
              </w:rPr>
              <w:t xml:space="preserve">регуляторного акта </w:t>
            </w:r>
            <w:r>
              <w:rPr>
                <w:rFonts w:cs="Times New Roman" w:ascii="Times New Roman" w:hAnsi="Times New Roman"/>
                <w:sz w:val="24"/>
                <w:szCs w:val="24"/>
              </w:rPr>
              <w:t>задекларована ціль буде досягнута повною мірою</w:t>
            </w:r>
          </w:p>
        </w:tc>
      </w:tr>
      <w:tr>
        <w:trPr/>
        <w:tc>
          <w:tcPr>
            <w:tcW w:w="2549"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Залишення існуючої на даний момент ситуації без змін</w:t>
            </w:r>
          </w:p>
        </w:tc>
        <w:tc>
          <w:tcPr>
            <w:tcW w:w="3912"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з</w:t>
            </w:r>
            <w:r>
              <w:rPr>
                <w:rFonts w:cs="Times New Roman" w:ascii="Times New Roman" w:hAnsi="Times New Roman"/>
                <w:sz w:val="24"/>
                <w:szCs w:val="24"/>
              </w:rPr>
              <w:t xml:space="preserve">алишення існуючої на даний момент ситуації без змін </w:t>
            </w:r>
            <w:r>
              <w:rPr>
                <w:rFonts w:cs="Times New Roman" w:ascii="Times New Roman" w:hAnsi="Times New Roman"/>
                <w:sz w:val="24"/>
                <w:szCs w:val="24"/>
              </w:rPr>
              <w:t>вигоди для держави, міста, громадян та суб’єктів господарювання відсутні</w:t>
            </w:r>
          </w:p>
        </w:tc>
        <w:tc>
          <w:tcPr>
            <w:tcW w:w="198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з</w:t>
            </w:r>
            <w:r>
              <w:rPr>
                <w:rFonts w:cs="Times New Roman" w:ascii="Times New Roman" w:hAnsi="Times New Roman"/>
                <w:sz w:val="24"/>
                <w:szCs w:val="24"/>
              </w:rPr>
              <w:t xml:space="preserve">алишення існуючої на даний момент ситуації без змін </w:t>
            </w:r>
            <w:r>
              <w:rPr>
                <w:rFonts w:cs="Times New Roman" w:ascii="Times New Roman" w:hAnsi="Times New Roman"/>
                <w:sz w:val="24"/>
                <w:szCs w:val="24"/>
              </w:rPr>
              <w:t>витрати для держави, міста, громадян та суб’єктів господарювання відсутні</w:t>
            </w:r>
          </w:p>
        </w:tc>
        <w:tc>
          <w:tcPr>
            <w:tcW w:w="17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з</w:t>
            </w:r>
            <w:r>
              <w:rPr>
                <w:rFonts w:cs="Times New Roman" w:ascii="Times New Roman" w:hAnsi="Times New Roman"/>
                <w:sz w:val="24"/>
                <w:szCs w:val="24"/>
              </w:rPr>
              <w:t xml:space="preserve">алишення існуючої на даний момент ситуації без змін  задекларована ціль </w:t>
            </w:r>
            <w:r>
              <w:rPr>
                <w:rFonts w:cs="Times New Roman" w:ascii="Times New Roman" w:hAnsi="Times New Roman"/>
                <w:sz w:val="24"/>
                <w:szCs w:val="24"/>
              </w:rPr>
              <w:t xml:space="preserve">не </w:t>
            </w:r>
            <w:r>
              <w:rPr>
                <w:rFonts w:cs="Times New Roman" w:ascii="Times New Roman" w:hAnsi="Times New Roman"/>
                <w:sz w:val="24"/>
                <w:szCs w:val="24"/>
              </w:rPr>
              <w:t>буде досягнута</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bl>
      <w:tblPr>
        <w:tblW w:w="102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09"/>
        <w:gridCol w:w="4761"/>
        <w:gridCol w:w="3235"/>
      </w:tblGrid>
      <w:tr>
        <w:trPr/>
        <w:tc>
          <w:tcPr>
            <w:tcW w:w="2209"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Рейтинг</w:t>
            </w:r>
          </w:p>
        </w:tc>
        <w:tc>
          <w:tcPr>
            <w:tcW w:w="476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Аргументи щодо переваги обраної альтернативи/ причини відмови від альтернативи</w:t>
            </w:r>
          </w:p>
        </w:tc>
        <w:tc>
          <w:tcPr>
            <w:tcW w:w="32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 xml:space="preserve">Оцінка ризику зовнішніх чинників на дію запропо-нованого регуляторного акта </w:t>
            </w:r>
          </w:p>
        </w:tc>
      </w:tr>
      <w:tr>
        <w:trPr/>
        <w:tc>
          <w:tcPr>
            <w:tcW w:w="2209"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Залишення існуючої на даний момент ситуації без змін</w:t>
            </w:r>
          </w:p>
        </w:tc>
        <w:tc>
          <w:tcPr>
            <w:tcW w:w="476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 xml:space="preserve">Порушення </w:t>
            </w:r>
            <w:r>
              <w:rPr>
                <w:rFonts w:cs="Times New Roman" w:ascii="Times New Roman" w:hAnsi="Times New Roman"/>
                <w:sz w:val="24"/>
                <w:szCs w:val="24"/>
                <w:lang w:val="uk-UA"/>
              </w:rPr>
              <w:t>н</w:t>
            </w:r>
            <w:r>
              <w:rPr>
                <w:rFonts w:cs="Times New Roman" w:ascii="Times New Roman" w:hAnsi="Times New Roman"/>
                <w:sz w:val="24"/>
                <w:szCs w:val="24"/>
                <w:lang w:val="uk-UA"/>
              </w:rPr>
              <w:t>аказ</w:t>
            </w:r>
            <w:r>
              <w:rPr>
                <w:rFonts w:cs="Times New Roman" w:ascii="Times New Roman" w:hAnsi="Times New Roman"/>
                <w:sz w:val="24"/>
                <w:szCs w:val="24"/>
                <w:lang w:val="uk-UA"/>
              </w:rPr>
              <w:t>у</w:t>
            </w:r>
            <w:r>
              <w:rPr>
                <w:rFonts w:cs="Times New Roman" w:ascii="Times New Roman" w:hAnsi="Times New Roman"/>
                <w:sz w:val="24"/>
                <w:szCs w:val="24"/>
                <w:lang w:val="uk-UA"/>
              </w:rPr>
              <w:t xml:space="preserve"> № 316 Міністерства регіонального розвитку, будівництва та житлово-комунального господарства України </w:t>
            </w:r>
            <w:r>
              <w:rPr>
                <w:rFonts w:cs="Times New Roman" w:ascii="Times New Roman" w:hAnsi="Times New Roman"/>
                <w:sz w:val="24"/>
                <w:szCs w:val="24"/>
                <w:lang w:val="uk-UA"/>
              </w:rPr>
              <w:t>про</w:t>
            </w:r>
            <w:r>
              <w:rPr>
                <w:rFonts w:cs="Times New Roman" w:ascii="Times New Roman" w:hAnsi="Times New Roman"/>
                <w:sz w:val="24"/>
                <w:szCs w:val="24"/>
                <w:lang w:val="uk-UA"/>
              </w:rPr>
              <w:t xml:space="preserve"> затверджен</w:t>
            </w:r>
            <w:r>
              <w:rPr>
                <w:rFonts w:cs="Times New Roman" w:ascii="Times New Roman" w:hAnsi="Times New Roman"/>
                <w:sz w:val="24"/>
                <w:szCs w:val="24"/>
                <w:lang w:val="uk-UA"/>
              </w:rPr>
              <w:t>ня</w:t>
            </w:r>
            <w:r>
              <w:rPr>
                <w:rFonts w:cs="Times New Roman" w:ascii="Times New Roman" w:hAnsi="Times New Roman"/>
                <w:sz w:val="24"/>
                <w:szCs w:val="24"/>
                <w:lang w:val="uk-UA"/>
              </w:rPr>
              <w:t xml:space="preserve"> “</w:t>
            </w:r>
            <w:r>
              <w:rPr>
                <w:rFonts w:cs="Times New Roman" w:ascii="Times New Roman" w:hAnsi="Times New Roman"/>
                <w:b w:val="false"/>
                <w:bCs w:val="false"/>
                <w:sz w:val="24"/>
                <w:szCs w:val="24"/>
                <w:lang w:val="uk-UA"/>
              </w:rPr>
              <w:t xml:space="preserve">Правил приймання стічних вод до систем централізованого водовідведення”; </w:t>
            </w:r>
            <w:r>
              <w:rPr>
                <w:rFonts w:cs="Times New Roman" w:ascii="Times New Roman" w:hAnsi="Times New Roman"/>
                <w:b w:val="false"/>
                <w:bCs w:val="false"/>
                <w:sz w:val="24"/>
                <w:szCs w:val="24"/>
                <w:lang w:val="uk-UA"/>
              </w:rPr>
              <w:t>неконтрольований скид підприємствами забруднюючих речовин, що в свою чергу може викликати загрозу виникнення екологічної катастрофи.</w:t>
            </w:r>
            <w:r>
              <w:rPr>
                <w:rFonts w:cs="Times New Roman" w:ascii="Times New Roman" w:hAnsi="Times New Roman"/>
                <w:b w:val="false"/>
                <w:bCs w:val="false"/>
                <w:sz w:val="24"/>
                <w:szCs w:val="24"/>
                <w:lang w:val="uk-UA"/>
              </w:rPr>
              <w:t xml:space="preserve"> </w:t>
            </w:r>
          </w:p>
        </w:tc>
        <w:tc>
          <w:tcPr>
            <w:tcW w:w="32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З</w:t>
            </w:r>
            <w:r>
              <w:rPr>
                <w:rFonts w:cs="Times New Roman" w:ascii="Times New Roman" w:hAnsi="Times New Roman"/>
                <w:sz w:val="24"/>
                <w:szCs w:val="24"/>
              </w:rPr>
              <w:t>овнішні чинник</w:t>
            </w:r>
            <w:r>
              <w:rPr>
                <w:rFonts w:cs="Times New Roman" w:ascii="Times New Roman" w:hAnsi="Times New Roman"/>
                <w:sz w:val="24"/>
                <w:szCs w:val="24"/>
              </w:rPr>
              <w:t>и</w:t>
            </w:r>
            <w:r>
              <w:rPr>
                <w:rFonts w:cs="Times New Roman" w:ascii="Times New Roman" w:hAnsi="Times New Roman"/>
                <w:sz w:val="24"/>
                <w:szCs w:val="24"/>
              </w:rPr>
              <w:t xml:space="preserve"> на дію регуляторного акта </w:t>
            </w:r>
            <w:r>
              <w:rPr>
                <w:rFonts w:cs="Times New Roman" w:ascii="Times New Roman" w:hAnsi="Times New Roman"/>
                <w:sz w:val="24"/>
                <w:szCs w:val="24"/>
              </w:rPr>
              <w:t>у разі залишення існуючої на даний момент ситуації без змін відсутні</w:t>
            </w:r>
          </w:p>
        </w:tc>
      </w:tr>
      <w:tr>
        <w:trPr/>
        <w:tc>
          <w:tcPr>
            <w:tcW w:w="2209"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Прийняття регуляторного акта</w:t>
            </w:r>
          </w:p>
        </w:tc>
        <w:tc>
          <w:tcPr>
            <w:tcW w:w="4761" w:type="dxa"/>
            <w:tcBorders>
              <w:left w:val="single" w:sz="2" w:space="0" w:color="000000"/>
              <w:bottom w:val="single" w:sz="2" w:space="0" w:color="000000"/>
              <w:insideH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 разі п</w:t>
            </w:r>
            <w:r>
              <w:rPr>
                <w:rFonts w:cs="Times New Roman" w:ascii="Times New Roman" w:hAnsi="Times New Roman"/>
                <w:sz w:val="24"/>
                <w:szCs w:val="24"/>
              </w:rPr>
              <w:t xml:space="preserve">рийняття регуляторного акта, </w:t>
            </w:r>
            <w:r>
              <w:rPr>
                <w:rFonts w:cs="Times New Roman" w:ascii="Times New Roman" w:hAnsi="Times New Roman"/>
                <w:sz w:val="24"/>
                <w:szCs w:val="24"/>
              </w:rPr>
              <w:t>для держави та міста Миколаїв  вигода полягатиме в створенні умов для попередження порушень у роботі систем централізованого водовідведення та очищення стічних вод, підвищен</w:t>
            </w:r>
            <w:r>
              <w:rPr>
                <w:rFonts w:cs="Times New Roman" w:ascii="Times New Roman" w:hAnsi="Times New Roman"/>
                <w:sz w:val="24"/>
                <w:szCs w:val="24"/>
              </w:rPr>
              <w:t>н</w:t>
            </w:r>
            <w:r>
              <w:rPr>
                <w:rFonts w:cs="Times New Roman" w:ascii="Times New Roman" w:hAnsi="Times New Roman"/>
                <w:sz w:val="24"/>
                <w:szCs w:val="24"/>
              </w:rPr>
              <w:t xml:space="preserve">я ефективності роботи та забезпечення належної експлуатації систем водовідведення, а також охорони навколишнього природного середовища від забруднення скидами стічних вод, що в свою чергу є гарантуванням безпеки життя і здоров'я людини. Тому обраним альтернативним способом вирішення проблеми є розроблення регуляторного акта. </w:t>
            </w:r>
          </w:p>
        </w:tc>
        <w:tc>
          <w:tcPr>
            <w:tcW w:w="32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rFonts w:ascii="Times New Roman" w:hAnsi="Times New Roman" w:cs="Times New Roman"/>
                <w:sz w:val="24"/>
                <w:szCs w:val="24"/>
              </w:rPr>
            </w:pPr>
            <w:r>
              <w:rPr>
                <w:rFonts w:cs="Times New Roman" w:ascii="Times New Roman" w:hAnsi="Times New Roman"/>
                <w:sz w:val="24"/>
                <w:szCs w:val="24"/>
              </w:rPr>
              <w:t>Упродовж деякого часу дії регуляторного акта може впливати н</w:t>
            </w:r>
            <w:r>
              <w:rPr>
                <w:rFonts w:cs="Times New Roman" w:ascii="Times New Roman" w:hAnsi="Times New Roman"/>
                <w:sz w:val="24"/>
                <w:szCs w:val="24"/>
              </w:rPr>
              <w:t>и</w:t>
            </w:r>
            <w:r>
              <w:rPr>
                <w:rFonts w:cs="Times New Roman" w:ascii="Times New Roman" w:hAnsi="Times New Roman"/>
                <w:sz w:val="24"/>
                <w:szCs w:val="24"/>
              </w:rPr>
              <w:t xml:space="preserve">зька обізнаність </w:t>
            </w:r>
            <w:r>
              <w:rPr>
                <w:rFonts w:cs="Times New Roman" w:ascii="Times New Roman" w:hAnsi="Times New Roman"/>
                <w:sz w:val="24"/>
                <w:szCs w:val="24"/>
              </w:rPr>
              <w:t>суб’єктів. На яких поширюється дія цього регуляторного акта.</w:t>
            </w:r>
          </w:p>
          <w:p>
            <w:pPr>
              <w:pStyle w:val="Normal"/>
              <w:spacing w:before="0" w:after="0"/>
              <w:jc w:val="left"/>
              <w:rPr/>
            </w:pPr>
            <w:r>
              <w:rPr/>
              <w:t xml:space="preserve">Найбільшими </w:t>
            </w:r>
            <w:r>
              <w:rPr/>
              <w:t>зовнішніми</w:t>
            </w:r>
            <w:r>
              <w:rPr/>
              <w:t xml:space="preserve"> ризиками є:</w:t>
            </w:r>
          </w:p>
          <w:p>
            <w:pPr>
              <w:pStyle w:val="Normal"/>
              <w:spacing w:lineRule="auto" w:line="240" w:before="0" w:after="0"/>
              <w:jc w:val="left"/>
              <w:rPr/>
            </w:pPr>
            <w:r>
              <w:rPr>
                <w:lang w:val="uk-UA"/>
              </w:rPr>
              <w:t xml:space="preserve">- </w:t>
            </w:r>
            <w:r>
              <w:rPr/>
              <w:t>зміни в чинному законодавстві України, які можуть призвести до необхідності внесення змін  регуляторного акта</w:t>
            </w:r>
            <w:r>
              <w:rPr>
                <w:lang w:val="uk-UA"/>
              </w:rPr>
              <w:t>;</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lang w:val="uk-UA"/>
              </w:rPr>
              <w:t>- порушення вимог запропо-нованого</w:t>
            </w:r>
            <w:r>
              <w:rPr>
                <w:rFonts w:cs="Times New Roman" w:ascii="Times New Roman" w:hAnsi="Times New Roman"/>
                <w:sz w:val="24"/>
                <w:szCs w:val="24"/>
              </w:rPr>
              <w:t xml:space="preserve"> </w:t>
            </w:r>
            <w:r>
              <w:rPr>
                <w:rFonts w:cs="Times New Roman" w:ascii="Times New Roman" w:hAnsi="Times New Roman"/>
                <w:sz w:val="24"/>
                <w:szCs w:val="24"/>
                <w:lang w:val="uk-UA"/>
              </w:rPr>
              <w:t>регуляторного</w:t>
            </w:r>
            <w:r>
              <w:rPr>
                <w:rFonts w:cs="Times New Roman" w:ascii="Times New Roman" w:hAnsi="Times New Roman"/>
                <w:sz w:val="24"/>
                <w:szCs w:val="24"/>
              </w:rPr>
              <w:t xml:space="preserve"> акта</w:t>
            </w:r>
            <w:r>
              <w:rPr>
                <w:rFonts w:cs="Times New Roman" w:ascii="Times New Roman" w:hAnsi="Times New Roman"/>
                <w:sz w:val="24"/>
                <w:szCs w:val="24"/>
                <w:lang w:val="uk-UA"/>
              </w:rPr>
              <w:t> споживачами.</w:t>
            </w:r>
          </w:p>
        </w:tc>
      </w:tr>
    </w:tbl>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5. Механізм та заходи, які забезпечать розв’язання визначеної проблеми</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Розв’язати визначену проблему пропонується у такий спосіб:</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На підставі затверджених “Правил приймання стічних вод до систем централізованого водовідведення” та “Порядку визначення розміру плати за скид стічних вод до систем централізованого водовідведення при порушенні вимог щодо якості і режиму їх скидання затверджується органами місцевого самоврядування “</w:t>
      </w:r>
      <w:r>
        <w:rPr>
          <w:rFonts w:cs="Times New Roman" w:ascii="Times New Roman" w:hAnsi="Times New Roman"/>
          <w:b w:val="false"/>
          <w:bCs w:val="false"/>
          <w:color w:val="000000"/>
          <w:sz w:val="24"/>
          <w:szCs w:val="24"/>
        </w:rPr>
        <w:t>П</w:t>
      </w:r>
      <w:r>
        <w:rPr>
          <w:rFonts w:cs="Times New Roman" w:ascii="Times New Roman" w:hAnsi="Times New Roman"/>
          <w:b w:val="false"/>
          <w:bCs w:val="false"/>
          <w:color w:val="000000"/>
          <w:sz w:val="24"/>
          <w:szCs w:val="24"/>
        </w:rPr>
        <w:t>равил</w:t>
      </w:r>
      <w:r>
        <w:rPr>
          <w:rFonts w:cs="Times New Roman" w:ascii="Times New Roman" w:hAnsi="Times New Roman"/>
          <w:b w:val="false"/>
          <w:bCs w:val="false"/>
          <w:color w:val="000000"/>
          <w:sz w:val="24"/>
          <w:szCs w:val="24"/>
        </w:rPr>
        <w:t>а</w:t>
      </w:r>
      <w:r>
        <w:rPr>
          <w:rFonts w:cs="Times New Roman" w:ascii="Times New Roman" w:hAnsi="Times New Roman"/>
          <w:b w:val="false"/>
          <w:bCs w:val="false"/>
          <w:color w:val="000000"/>
          <w:sz w:val="24"/>
          <w:szCs w:val="24"/>
        </w:rPr>
        <w:t xml:space="preserve"> приймання стічних вод до систем централізованого водовідведення м. Миколаєва”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переукладання відповідних договорів між суб'єктами господарювання та М</w:t>
      </w:r>
      <w:r>
        <w:rPr>
          <w:rFonts w:cs="Times New Roman" w:ascii="Times New Roman" w:hAnsi="Times New Roman"/>
          <w:b w:val="false"/>
          <w:bCs w:val="false"/>
          <w:color w:val="000000"/>
          <w:sz w:val="24"/>
          <w:szCs w:val="24"/>
        </w:rPr>
        <w:t>КП</w:t>
      </w:r>
      <w:r>
        <w:rPr>
          <w:rFonts w:cs="Times New Roman" w:ascii="Times New Roman" w:hAnsi="Times New Roman"/>
          <w:b w:val="false"/>
          <w:bCs w:val="false"/>
          <w:color w:val="000000"/>
          <w:sz w:val="24"/>
          <w:szCs w:val="24"/>
        </w:rPr>
        <w:t xml:space="preserve">  “Миколаївводоканал”,</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встановлення терміну на реалізацію заходів з якості доведення стічних вод для суб’єктів господарювання, які в супереч діючому законодавству не мають локальних очисних споруд та встановлення </w:t>
      </w:r>
      <w:r>
        <w:rPr>
          <w:rFonts w:cs="Times New Roman" w:ascii="Times New Roman" w:hAnsi="Times New Roman"/>
          <w:b w:val="false"/>
          <w:bCs w:val="false"/>
          <w:color w:val="000000"/>
          <w:sz w:val="24"/>
          <w:szCs w:val="24"/>
        </w:rPr>
        <w:t xml:space="preserve">на цей термін </w:t>
      </w:r>
      <w:r>
        <w:rPr>
          <w:rFonts w:cs="Times New Roman" w:ascii="Times New Roman" w:hAnsi="Times New Roman"/>
          <w:b w:val="false"/>
          <w:bCs w:val="false"/>
          <w:color w:val="000000"/>
          <w:sz w:val="24"/>
          <w:szCs w:val="24"/>
        </w:rPr>
        <w:t>розміру додаткової оплати за приймання понаднормативно забруднених стоків в межах 60% від плати за скид стічних вод до систем централізованого водовідведення при порушенні вимог щодо якості режиму їх скидання.</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4"/>
          <w:szCs w:val="24"/>
        </w:rPr>
        <w:t xml:space="preserve">6. </w:t>
      </w:r>
      <w:r>
        <w:rPr>
          <w:rFonts w:cs="Times New Roman" w:ascii="Times New Roman" w:hAnsi="Times New Roman"/>
          <w:b/>
          <w:bCs/>
          <w:color w:val="000000"/>
          <w:sz w:val="24"/>
          <w:szCs w:val="24"/>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before="0" w:after="0"/>
        <w:ind w:left="0" w:right="0" w:firstLine="737"/>
        <w:jc w:val="both"/>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Впровадження та виконання вимог даного регуляторного акта не потребує додаткових витрат з бюджетів різних рівнів, а також не потребує додаткових витрат на здійснення контролю за виконанням даного регуляторного акта.</w:t>
      </w:r>
    </w:p>
    <w:p>
      <w:pPr>
        <w:pStyle w:val="Normal"/>
        <w:spacing w:before="0" w:after="0"/>
        <w:jc w:val="both"/>
        <w:rPr>
          <w:rFonts w:ascii="Times New Roman" w:hAnsi="Times New Roman"/>
          <w:b w:val="false"/>
          <w:b w:val="false"/>
          <w:bCs w:val="false"/>
          <w:i w:val="false"/>
          <w:i w:val="false"/>
          <w:iCs w:val="false"/>
          <w:color w:val="000000"/>
          <w:sz w:val="24"/>
          <w:szCs w:val="24"/>
          <w:lang w:val="uk-UA"/>
        </w:rPr>
      </w:pPr>
      <w:r>
        <w:rPr>
          <w:rFonts w:ascii="Times New Roman" w:hAnsi="Times New Roman"/>
          <w:b w:val="false"/>
          <w:bCs w:val="false"/>
          <w:i w:val="false"/>
          <w:iCs w:val="false"/>
          <w:color w:val="000000"/>
          <w:sz w:val="24"/>
          <w:szCs w:val="24"/>
          <w:lang w:val="uk-UA"/>
        </w:rPr>
        <w:tab/>
        <w:t>Досягнення цілей не передбачає додаткових організаційних заходів.</w:t>
      </w:r>
    </w:p>
    <w:p>
      <w:pPr>
        <w:pStyle w:val="Normal"/>
        <w:spacing w:before="0" w:after="0"/>
        <w:ind w:left="0" w:right="0" w:firstLine="737"/>
        <w:jc w:val="both"/>
        <w:rPr>
          <w:rFonts w:ascii="Times New Roman" w:hAnsi="Times New Roman" w:cs="Times New Roman"/>
          <w:b w:val="false"/>
          <w:b w:val="false"/>
          <w:bCs w:val="false"/>
          <w:i w:val="false"/>
          <w:i w:val="false"/>
          <w:iCs w:val="false"/>
          <w:color w:val="000000"/>
          <w:sz w:val="24"/>
          <w:szCs w:val="24"/>
          <w:lang w:val="uk-UA"/>
        </w:rPr>
      </w:pPr>
      <w:r>
        <w:rPr>
          <w:rFonts w:cs="Times New Roman" w:ascii="Times New Roman" w:hAnsi="Times New Roman"/>
          <w:b w:val="false"/>
          <w:bCs w:val="false"/>
          <w:i w:val="false"/>
          <w:iCs w:val="false"/>
          <w:color w:val="000000"/>
          <w:sz w:val="24"/>
          <w:szCs w:val="24"/>
          <w:lang w:val="uk-UA"/>
        </w:rPr>
        <w:t>Прийняття акту не призведе до неочікуваних результатів і не потребуватиме додаткових витрат з міського бюджету.</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 </w:t>
      </w:r>
      <w:r>
        <w:rPr>
          <w:rFonts w:cs="Times New Roman" w:ascii="Times New Roman" w:hAnsi="Times New Roman"/>
          <w:b w:val="false"/>
          <w:bCs w:val="false"/>
          <w:color w:val="000000"/>
          <w:sz w:val="24"/>
          <w:szCs w:val="24"/>
        </w:rPr>
        <w:t xml:space="preserve">оцінюється вище середнього. Тест малого підприємництва наведено в додатку </w:t>
      </w:r>
      <w:r>
        <w:rPr>
          <w:rFonts w:cs="Times New Roman" w:ascii="Times New Roman" w:hAnsi="Times New Roman"/>
          <w:b w:val="false"/>
          <w:bCs w:val="false"/>
          <w:color w:val="000000"/>
          <w:sz w:val="24"/>
          <w:szCs w:val="24"/>
        </w:rPr>
        <w:t>2</w:t>
      </w:r>
      <w:r>
        <w:rPr>
          <w:rFonts w:cs="Times New Roman" w:ascii="Times New Roman" w:hAnsi="Times New Roman"/>
          <w:b w:val="false"/>
          <w:bCs w:val="false"/>
          <w:color w:val="000000"/>
          <w:sz w:val="24"/>
          <w:szCs w:val="24"/>
        </w:rPr>
        <w:t xml:space="preserve"> до цього Аналізу регуляторного впливу.</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7. Обґрунтування запропонованого строку дії регуляторного акта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Строк дії цього регуляторного акта встановлюється на необмежений термін, оскільки він регулює відносини, які мають перманентний характер.</w:t>
      </w:r>
    </w:p>
    <w:p>
      <w:pPr>
        <w:pStyle w:val="Normal"/>
        <w:spacing w:before="0" w:after="0"/>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У разі виникнення необхідності, до регуляторного акта можуть бути внесені зміни та/або доповнення за підсумками проведеного аналізу відстеження його результативності та у разі змін у діючому законодавстві, які можуть вплинути на дію даного акта.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8. Визначення показників результативності дії регуляторного акта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Прогнозними значеннями показників результативності регуляторного акта є:</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розмір надходження до державного та місцевих бюджетів і державних цільових фондів, пов’язаних з дією акта — не прогнозується;</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кількість суб’єктів господарювання та/або фізичних осіб, на яких поширюватиметься </w:t>
      </w:r>
      <w:r>
        <w:rPr>
          <w:rFonts w:cs="Times New Roman" w:ascii="Times New Roman" w:hAnsi="Times New Roman"/>
          <w:b w:val="false"/>
          <w:bCs w:val="false"/>
          <w:color w:val="000000"/>
          <w:sz w:val="24"/>
          <w:szCs w:val="24"/>
        </w:rPr>
        <w:t xml:space="preserve">дія акта — підприємство водопровідно-каналізаційного господарства МКП “Миколаївводоканал” та суб’єкти підприємницької діяльності, які користуються послугами водовідведення в місті Миколаєві — </w:t>
      </w:r>
      <w:r>
        <w:rPr>
          <w:rFonts w:cs="Times New Roman" w:ascii="Times New Roman" w:hAnsi="Times New Roman"/>
          <w:b w:val="false"/>
          <w:bCs w:val="false"/>
          <w:color w:val="000000"/>
          <w:sz w:val="24"/>
          <w:szCs w:val="24"/>
        </w:rPr>
        <w:t>6071</w:t>
      </w:r>
      <w:r>
        <w:rPr>
          <w:rFonts w:cs="Times New Roman" w:ascii="Times New Roman" w:hAnsi="Times New Roman"/>
          <w:b w:val="false"/>
          <w:bCs w:val="false"/>
          <w:color w:val="000000"/>
          <w:sz w:val="24"/>
          <w:szCs w:val="24"/>
        </w:rPr>
        <w:t xml:space="preserve"> підприємств</w:t>
      </w:r>
      <w:r>
        <w:rPr>
          <w:rFonts w:cs="Times New Roman" w:ascii="Times New Roman" w:hAnsi="Times New Roman"/>
          <w:b w:val="false"/>
          <w:bCs w:val="false"/>
          <w:color w:val="000000"/>
          <w:sz w:val="24"/>
          <w:szCs w:val="24"/>
        </w:rPr>
        <w:t>о</w:t>
      </w:r>
      <w:r>
        <w:rPr>
          <w:rFonts w:cs="Times New Roman" w:ascii="Times New Roman" w:hAnsi="Times New Roman"/>
          <w:b w:val="false"/>
          <w:bCs w:val="false"/>
          <w:color w:val="000000"/>
          <w:sz w:val="24"/>
          <w:szCs w:val="24"/>
        </w:rPr>
        <w:t>.</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розмір коштів і час, що витрачатимуться </w:t>
      </w:r>
      <w:r>
        <w:rPr>
          <w:rFonts w:cs="Times New Roman" w:ascii="Times New Roman" w:hAnsi="Times New Roman"/>
          <w:b w:val="false"/>
          <w:bCs w:val="false"/>
          <w:color w:val="000000"/>
          <w:sz w:val="24"/>
          <w:szCs w:val="24"/>
        </w:rPr>
        <w:t>суб’єкт</w:t>
      </w:r>
      <w:r>
        <w:rPr>
          <w:rFonts w:cs="Times New Roman" w:ascii="Times New Roman" w:hAnsi="Times New Roman"/>
          <w:b w:val="false"/>
          <w:bCs w:val="false"/>
          <w:color w:val="000000"/>
          <w:sz w:val="24"/>
          <w:szCs w:val="24"/>
        </w:rPr>
        <w:t>ами</w:t>
      </w:r>
      <w:r>
        <w:rPr>
          <w:rFonts w:cs="Times New Roman" w:ascii="Times New Roman" w:hAnsi="Times New Roman"/>
          <w:b w:val="false"/>
          <w:bCs w:val="false"/>
          <w:color w:val="000000"/>
          <w:sz w:val="24"/>
          <w:szCs w:val="24"/>
        </w:rPr>
        <w:t xml:space="preserve"> господарювання </w:t>
      </w:r>
      <w:r>
        <w:rPr>
          <w:rFonts w:cs="Times New Roman" w:ascii="Times New Roman" w:hAnsi="Times New Roman"/>
          <w:b w:val="false"/>
          <w:bCs w:val="false"/>
          <w:color w:val="000000"/>
          <w:sz w:val="24"/>
          <w:szCs w:val="24"/>
        </w:rPr>
        <w:t>та/або фізичними особами, пов’язаними з виконанням вимог акта — середній;</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рівень поінформованості </w:t>
      </w:r>
      <w:r>
        <w:rPr>
          <w:rFonts w:cs="Times New Roman" w:ascii="Times New Roman" w:hAnsi="Times New Roman"/>
          <w:b w:val="false"/>
          <w:bCs w:val="false"/>
          <w:color w:val="000000"/>
          <w:sz w:val="24"/>
          <w:szCs w:val="24"/>
        </w:rPr>
        <w:t>суб’єкт</w:t>
      </w:r>
      <w:r>
        <w:rPr>
          <w:rFonts w:cs="Times New Roman" w:ascii="Times New Roman" w:hAnsi="Times New Roman"/>
          <w:b w:val="false"/>
          <w:bCs w:val="false"/>
          <w:color w:val="000000"/>
          <w:sz w:val="24"/>
          <w:szCs w:val="24"/>
        </w:rPr>
        <w:t>ів</w:t>
      </w:r>
      <w:r>
        <w:rPr>
          <w:rFonts w:cs="Times New Roman" w:ascii="Times New Roman" w:hAnsi="Times New Roman"/>
          <w:b w:val="false"/>
          <w:bCs w:val="false"/>
          <w:color w:val="000000"/>
          <w:sz w:val="24"/>
          <w:szCs w:val="24"/>
        </w:rPr>
        <w:t xml:space="preserve"> господарювання </w:t>
      </w:r>
      <w:r>
        <w:rPr>
          <w:rFonts w:cs="Times New Roman" w:ascii="Times New Roman" w:hAnsi="Times New Roman"/>
          <w:b w:val="false"/>
          <w:bCs w:val="false"/>
          <w:color w:val="000000"/>
          <w:sz w:val="24"/>
          <w:szCs w:val="24"/>
        </w:rPr>
        <w:t>та фізичних осіб з основних положень акта — вище середнього. Проект акта розміщено на офіційному сайті міської ради міста Миколаєва.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кількість підприємств усіх форм власності в місті Миколаєві, </w:t>
      </w:r>
      <w:r>
        <w:rPr>
          <w:rFonts w:cs="Times New Roman" w:ascii="Times New Roman" w:hAnsi="Times New Roman"/>
          <w:b w:val="false"/>
          <w:bCs w:val="false"/>
          <w:color w:val="000000"/>
          <w:sz w:val="24"/>
          <w:szCs w:val="24"/>
        </w:rPr>
        <w:t xml:space="preserve">які укладають договори на надання послуг з водовідведення та очищення стічних вод згідно з вимогами Правил приймання стічних вод — </w:t>
      </w:r>
      <w:r>
        <w:rPr>
          <w:rFonts w:cs="Times New Roman" w:ascii="Times New Roman" w:hAnsi="Times New Roman"/>
          <w:b w:val="false"/>
          <w:bCs w:val="false"/>
          <w:color w:val="000000"/>
          <w:sz w:val="24"/>
          <w:szCs w:val="24"/>
        </w:rPr>
        <w:t>6071;</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кількість каналізацій, які знаходяться у </w:t>
      </w:r>
      <w:r>
        <w:rPr>
          <w:rFonts w:cs="Times New Roman" w:ascii="Times New Roman" w:hAnsi="Times New Roman"/>
          <w:b w:val="false"/>
          <w:bCs w:val="false"/>
          <w:color w:val="000000"/>
          <w:sz w:val="24"/>
          <w:szCs w:val="24"/>
        </w:rPr>
        <w:t xml:space="preserve">МКП “Миколаївводоканал” - </w:t>
      </w:r>
      <w:r>
        <w:rPr>
          <w:rFonts w:cs="Times New Roman" w:ascii="Times New Roman" w:hAnsi="Times New Roman"/>
          <w:b w:val="false"/>
          <w:bCs w:val="false"/>
          <w:color w:val="000000"/>
          <w:sz w:val="24"/>
          <w:szCs w:val="24"/>
        </w:rPr>
        <w:t>3;</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 частка ветхих і аварійних колекторів — </w:t>
      </w:r>
      <w:r>
        <w:rPr>
          <w:rFonts w:cs="Times New Roman" w:ascii="Times New Roman" w:hAnsi="Times New Roman"/>
          <w:b w:val="false"/>
          <w:bCs w:val="false"/>
          <w:color w:val="000000"/>
          <w:sz w:val="24"/>
          <w:szCs w:val="24"/>
        </w:rPr>
        <w:t>28,012% (202,086 км)</w:t>
      </w:r>
    </w:p>
    <w:p>
      <w:pPr>
        <w:pStyle w:val="Normal"/>
        <w:ind w:left="0" w:right="0" w:firstLine="737"/>
        <w:jc w:val="both"/>
        <w:rPr>
          <w:rFonts w:ascii="Times New Roman" w:hAnsi="Times New Roman" w:cs="Times New Roman"/>
          <w:b w:val="false"/>
          <w:b w:val="false"/>
          <w:bCs w:val="false"/>
          <w:color w:val="000000"/>
          <w:sz w:val="24"/>
          <w:szCs w:val="24"/>
          <w:highlight w:val="yellow"/>
        </w:rPr>
      </w:pPr>
      <w:r>
        <w:rPr>
          <w:rFonts w:cs="Times New Roman" w:ascii="Times New Roman" w:hAnsi="Times New Roman"/>
          <w:b w:val="false"/>
          <w:bCs w:val="false"/>
          <w:color w:val="000000"/>
          <w:sz w:val="24"/>
          <w:szCs w:val="24"/>
          <w:highlight w:val="yellow"/>
        </w:rPr>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9. </w:t>
      </w:r>
      <w:r>
        <w:rPr>
          <w:rFonts w:cs="Times New Roman" w:ascii="Times New Roman" w:hAnsi="Times New Roman"/>
          <w:b/>
          <w:bCs/>
          <w:color w:val="000000"/>
          <w:sz w:val="24"/>
          <w:szCs w:val="24"/>
        </w:rPr>
        <w:t>Визначення заходів, за допомогою яких здійснюватиметься відстеження результативності дії регуляторного акта</w:t>
      </w:r>
    </w:p>
    <w:p>
      <w:pPr>
        <w:pStyle w:val="Normal"/>
        <w:ind w:left="0" w:right="0" w:firstLine="73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Стосовно цього регуляторного акта буде послідовно здійснюватися базове, повторне та періодичне відстеження його результативності. Зокрема: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базове відстеження результативності регуляторного акта буде проведено через один рік після набрання чинності цим регуляторним актом;</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повторне відстеження результативності — через два роки з дня набрання ним чинності;</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Відстеження результативності дії регуляторного акта буде здійснюватиметься за допомогою статистичного методу, шляхом аналізу отриманих даних.</w:t>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firstLine="737"/>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Генеральний директор МКП “Миколаївводоканал”                                           Б.Л.Дуденко</w:t>
      </w:r>
    </w:p>
    <w:sectPr>
      <w:type w:val="nextPage"/>
      <w:pgSz w:w="11906" w:h="16838"/>
      <w:pgMar w:left="824" w:right="877" w:header="0" w:top="680" w:footer="0" w:bottom="68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Cambria Math">
    <w:charset w:val="01"/>
    <w:family w:val="roman"/>
    <w:pitch w:val="variable"/>
  </w:font>
</w:fonts>
</file>

<file path=word/settings.xml><?xml version="1.0" encoding="utf-8"?>
<w:settings xmlns:w="http://schemas.openxmlformats.org/wordprocessingml/2006/main">
  <w:zoom w:percent="22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uk-U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lang w:eastAsia="en-US"/>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Times New Roman" w:cs="Times New Roman"/>
      <w:color w:val="auto"/>
      <w:kern w:val="2"/>
      <w:sz w:val="24"/>
      <w:szCs w:val="24"/>
      <w:lang w:eastAsia="uk-UA" w:val="uk-UA" w:bidi="hi-IN"/>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Содержимое врезки"/>
    <w:basedOn w:val="Normal"/>
    <w:qFormat/>
    <w:pPr/>
    <w:rPr/>
  </w:style>
  <w:style w:type="paragraph" w:styleId="Style22">
    <w:name w:val="Footer"/>
    <w:basedOn w:val="Normal"/>
    <w:pPr>
      <w:suppressLineNumbers/>
      <w:tabs>
        <w:tab w:val="center" w:pos="5102" w:leader="none"/>
        <w:tab w:val="right" w:pos="1020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LibreOffice/6.0.3.2$Linux_X86_64 LibreOffice_project/00m0$Build-2</Application>
  <Pages>7</Pages>
  <Words>2383</Words>
  <Characters>16906</Characters>
  <CharactersWithSpaces>19232</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2018-07-27T11:12:12Z</dcterms:created>
  <dc:creator/>
  <dc:description/>
  <dc:language>ru-RU</dc:language>
  <cp:lastModifiedBy/>
  <dcterms:modified xsi:type="dcterms:W3CDTF">2018-08-16T14:48:01Z</dcterms:modified>
  <cp:revision>13</cp:revision>
  <dc:subject/>
  <dc:title/>
</cp:coreProperties>
</file>