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34" w:rsidRPr="00A34034" w:rsidRDefault="00A34034" w:rsidP="00A3403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</w:pP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>Додаток 4</w:t>
      </w:r>
    </w:p>
    <w:p w:rsidR="00A34034" w:rsidRDefault="00A34034" w:rsidP="00A34034">
      <w:pPr>
        <w:shd w:val="clear" w:color="auto" w:fill="FFFFFF"/>
        <w:spacing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>до Методики проведення аналізу впливу</w:t>
      </w: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ru-RU" w:eastAsia="uk-UA"/>
        </w:rPr>
        <w:t xml:space="preserve"> </w:t>
      </w:r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 xml:space="preserve">регуляторного </w:t>
      </w:r>
      <w:proofErr w:type="spellStart"/>
      <w:r w:rsidRPr="00A34034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>акта</w:t>
      </w:r>
      <w:proofErr w:type="spellEnd"/>
    </w:p>
    <w:p w:rsidR="00A34034" w:rsidRDefault="00A34034" w:rsidP="008745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</w:p>
    <w:p w:rsidR="003545D8" w:rsidRPr="003545D8" w:rsidRDefault="003545D8" w:rsidP="00A3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ТЕСТ малого підприємництва (М-Тест)</w:t>
      </w:r>
    </w:p>
    <w:p w:rsidR="003545D8" w:rsidRPr="003545D8" w:rsidRDefault="003545D8" w:rsidP="00A3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A34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Консультації з представниками мікро- та малого підприємництва щодо оцінки впливу регулювання</w:t>
      </w:r>
    </w:p>
    <w:p w:rsidR="003545D8" w:rsidRPr="003545D8" w:rsidRDefault="003545D8" w:rsidP="00A3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02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.07.202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1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 по 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01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.08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.20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21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 включно.</w:t>
      </w: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A71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A34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 xml:space="preserve">Вимірювання впливу регулювання на суб’єктів малого підприємництва   (мікро- та </w:t>
      </w:r>
      <w:bookmarkStart w:id="0" w:name="_GoBack"/>
      <w:bookmarkEnd w:id="0"/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малі):</w:t>
      </w:r>
    </w:p>
    <w:p w:rsidR="003545D8" w:rsidRPr="003545D8" w:rsidRDefault="003545D8" w:rsidP="00A71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Кількість суб’єктів  малого та </w:t>
      </w:r>
      <w:r w:rsidR="0087573E"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мікро підприємництва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, на яких поширюється регулювання: 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5235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одиниць;</w:t>
      </w:r>
    </w:p>
    <w:p w:rsidR="003545D8" w:rsidRPr="003545D8" w:rsidRDefault="003545D8" w:rsidP="00A71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питома вага суб’єктів малого та мікро підприємництва у загальній кількості суб’єктів господарювання, на яких проблема справляє вплив 100%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акту).</w:t>
      </w:r>
    </w:p>
    <w:p w:rsidR="003545D8" w:rsidRPr="003545D8" w:rsidRDefault="003545D8" w:rsidP="00A71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A71B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Розрахунок витрат суб’єктів малого підприємництва на виконання вимог регулювання (грн.)</w:t>
      </w:r>
    </w:p>
    <w:p w:rsidR="003545D8" w:rsidRPr="003545D8" w:rsidRDefault="003545D8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   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76"/>
        <w:gridCol w:w="5212"/>
        <w:gridCol w:w="1843"/>
        <w:gridCol w:w="1701"/>
        <w:gridCol w:w="850"/>
      </w:tblGrid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Витрати за п’ять років</w:t>
            </w:r>
          </w:p>
        </w:tc>
      </w:tr>
      <w:tr w:rsidR="003545D8" w:rsidRPr="003545D8" w:rsidTr="008745DC">
        <w:trPr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 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не 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експлуатації обладнання (експлуатаційні витрати – витратні матеріали)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Формула: 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8745DC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Н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 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обслуговування обладнання (технічне обслуговування)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обладнання одному суб’єкту малого підприємництва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8745DC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 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u w:val="single"/>
                <w:lang w:eastAsia="uk-UA"/>
              </w:rPr>
              <w:t>Інші процедури (уточнити)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8745DC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 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Разом, гривень (формула: сума рядків 1+2+3+4+5)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8745DC" w:rsidP="008745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 </w:t>
            </w:r>
            <w:r w:rsidR="003545D8"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A71BE5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>5235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Сумарно, гривень </w:t>
            </w:r>
            <w:r w:rsidRPr="008745DC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(</w:t>
            </w: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відповідний стовпчик «разом» Х кількість суб’єктів  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організації виконання вимог регулювання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офіційного звітування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</w:t>
            </w:r>
            <w:r w:rsidRPr="008745DC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 </w:t>
            </w: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</w:t>
            </w: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Інші процедури (уточнити)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Підготовка документів на конкурс (написання заяви, ксерокопія документів, відправка конверта тощо)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Разом, гривень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Формула: (сума рядків  9+10+11+12+13)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A71BE5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>5235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Сумарно, гривень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8745DC">
              <w:rPr>
                <w:rFonts w:ascii="Times New Roman" w:eastAsia="Times New Roman" w:hAnsi="Times New Roman" w:cs="Times New Roman"/>
                <w:i/>
                <w:iCs/>
                <w:color w:val="1D1D1B"/>
                <w:sz w:val="24"/>
                <w:szCs w:val="24"/>
                <w:lang w:eastAsia="uk-UA"/>
              </w:rPr>
              <w:t>Формула:</w:t>
            </w:r>
          </w:p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rPr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</w:tr>
    </w:tbl>
    <w:p w:rsidR="008745DC" w:rsidRDefault="003545D8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 </w:t>
      </w:r>
    </w:p>
    <w:p w:rsidR="003545D8" w:rsidRPr="003545D8" w:rsidRDefault="003545D8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Бюджетні витрати на адміністрування регулювання суб’єктів малого підприємництва</w:t>
      </w:r>
    </w:p>
    <w:p w:rsidR="008745DC" w:rsidRDefault="003545D8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</w:t>
      </w:r>
      <w:r w:rsidR="008745DC"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регулювання.</w:t>
      </w:r>
      <w:r w:rsidR="008745DC" w:rsidRPr="008745DC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</w:t>
      </w:r>
    </w:p>
    <w:p w:rsidR="008745DC" w:rsidRPr="003545D8" w:rsidRDefault="008745DC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Державний орган, для якого здійснюється розрахунок вартості адміністрування регулювання:</w:t>
      </w:r>
    </w:p>
    <w:p w:rsidR="008745DC" w:rsidRPr="003545D8" w:rsidRDefault="008745DC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ru-RU" w:eastAsia="uk-UA"/>
        </w:rPr>
        <w:t>Миколаївська</w:t>
      </w:r>
      <w:proofErr w:type="spellEnd"/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 xml:space="preserve"> міська рада </w:t>
      </w:r>
    </w:p>
    <w:p w:rsidR="003545D8" w:rsidRPr="008745DC" w:rsidRDefault="003545D8" w:rsidP="008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67"/>
        <w:tblW w:w="92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1318"/>
        <w:gridCol w:w="1459"/>
        <w:gridCol w:w="1265"/>
        <w:gridCol w:w="1375"/>
        <w:gridCol w:w="1711"/>
      </w:tblGrid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мікро-підприємств)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1.Облік суб’єкта господарювання, що перебуває у сфері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Камеральні/виїзні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1год.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 Підготовка, затвердження та опрацювання одного окремого акту про порушення вимог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 год.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DC" w:rsidRPr="003545D8" w:rsidRDefault="008745DC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 Інші адміністративні процедури (уточнити)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8745DC" w:rsidRPr="003545D8" w:rsidTr="008745DC"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</w:tbl>
    <w:p w:rsidR="003545D8" w:rsidRDefault="008745DC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</w:t>
      </w:r>
    </w:p>
    <w:p w:rsidR="008745DC" w:rsidRDefault="008745DC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tbl>
      <w:tblPr>
        <w:tblW w:w="7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143"/>
        <w:gridCol w:w="2334"/>
        <w:gridCol w:w="1830"/>
      </w:tblGrid>
      <w:tr w:rsidR="003545D8" w:rsidRPr="003545D8" w:rsidTr="00A71BE5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Назва державного органу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Витрати на адміністрування регулювання за рік, гривень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Сумарні витрати на адміністрування регулювання за п’ять років, гривень</w:t>
            </w:r>
          </w:p>
        </w:tc>
      </w:tr>
      <w:tr w:rsidR="003545D8" w:rsidRPr="003545D8" w:rsidTr="00A71BE5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Не передбачено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</w:tbl>
    <w:p w:rsidR="003545D8" w:rsidRPr="003545D8" w:rsidRDefault="003545D8" w:rsidP="003545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lastRenderedPageBreak/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159"/>
        <w:gridCol w:w="1514"/>
        <w:gridCol w:w="5098"/>
      </w:tblGrid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Перший рік регулювання (стартовий)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 5 років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«прямих» витрат суб’єктів малого підприємництва на виконання регулювання, грн.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звітування, грн.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Сумарні витрати малого підприємництва  на виконання запланованого регулювання, грн. (сума рядків 1 та 2 цієї таблиці)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Бюджетні витрати на адміністрування регулювання суб'єктів малого підприємництва, грн.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  <w:tr w:rsidR="003545D8" w:rsidRPr="003545D8" w:rsidTr="008745DC"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Сумарні витрати на виконання запланованого регулювання, грн. (сума рядків 3 та 4 цієї таблиці)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5D8" w:rsidRPr="003545D8" w:rsidRDefault="003545D8" w:rsidP="003545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545D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</w:t>
            </w:r>
          </w:p>
        </w:tc>
      </w:tr>
    </w:tbl>
    <w:p w:rsidR="00620419" w:rsidRDefault="00620419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</w:pPr>
    </w:p>
    <w:p w:rsidR="003545D8" w:rsidRPr="003545D8" w:rsidRDefault="003545D8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VIІ. Обґрунтування запропонованого строку дії регуляторного акту</w:t>
      </w:r>
    </w:p>
    <w:p w:rsidR="003545D8" w:rsidRPr="003545D8" w:rsidRDefault="003545D8" w:rsidP="008745D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Строк дії запропонованого регуляторного акту5 років, оскільки він регулює відносини, які можуть мати змінний  характер. Протягом його дії передбачається покращити благоустрій на територі</w:t>
      </w:r>
      <w:r w:rsidR="00620419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ї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міста </w:t>
      </w:r>
      <w:r w:rsidR="008745DC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Миколаїв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  <w:r w:rsidR="008745DC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Водночас він може бути змінений на підставі аналізу ефективності його дії, або у зв'язку зі змінами в законодавстві.</w:t>
      </w:r>
    </w:p>
    <w:p w:rsidR="003545D8" w:rsidRDefault="003545D8" w:rsidP="008745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Перегляд положень регуляторного акту, його скасування, відміна чи внесення до нього змін, здійснюватиметься відповідно до вимог Закону України "Про засади державної регуляторної політики у сфері господарської діяльності".</w:t>
      </w:r>
    </w:p>
    <w:p w:rsidR="003545D8" w:rsidRPr="003545D8" w:rsidRDefault="003545D8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lastRenderedPageBreak/>
        <w:t>VIIІ. Визначення показників результативності дії регуляторного акту</w:t>
      </w:r>
    </w:p>
    <w:p w:rsidR="003545D8" w:rsidRPr="003545D8" w:rsidRDefault="003545D8" w:rsidP="008745D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Відстеження результативності регуляторного акту здійснюється у встановленому законодавством порядку за кількісними і якісними показниками з використанням статистичного методу одержання результатів відстеження.</w:t>
      </w:r>
    </w:p>
    <w:p w:rsidR="003545D8" w:rsidRPr="003545D8" w:rsidRDefault="008745DC" w:rsidP="008745D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З</w:t>
      </w:r>
      <w:r w:rsidR="003545D8"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метою відстеження результативності запропонованого регуляторного акту визначено наступні показники результативності:</w:t>
      </w:r>
    </w:p>
    <w:p w:rsidR="003545D8" w:rsidRPr="003545D8" w:rsidRDefault="003545D8" w:rsidP="00874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Кількість суб’єктів господарювання, щодо яких поширюватиметься дія регуляторного акту - 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5235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3545D8" w:rsidRPr="003545D8" w:rsidRDefault="003545D8" w:rsidP="00874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Прогнозована кількість порушень правил благоустрою, які обчислюються відповідно до кількості протоколів про адміністративні правопорушення за ст.152 КУпАП України, 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190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шт.</w:t>
      </w:r>
    </w:p>
    <w:p w:rsidR="003545D8" w:rsidRPr="003545D8" w:rsidRDefault="003545D8" w:rsidP="00874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Надходження коштів до міського бюджету, внаслідок сплачених коштів за порушення, передбачені ст. 15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2 КУпАП України. Прогнозовано:</w:t>
      </w:r>
      <w:r w:rsidR="00A71BE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uk-UA"/>
        </w:rPr>
        <w:t>79590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,00</w:t>
      </w:r>
      <w:r w:rsidR="008745DC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грн.</w:t>
      </w:r>
    </w:p>
    <w:p w:rsidR="003545D8" w:rsidRPr="003545D8" w:rsidRDefault="003545D8" w:rsidP="00874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Розмір коштів і часу, що витрачатимуться суб’єктами господарювання, пов’язаних із виконанням вимог цього регуляторного акту. Передбачається, витрати часу на процедуру регулювання складуть 1 год. (згідно з М-тестом).</w:t>
      </w:r>
    </w:p>
    <w:p w:rsidR="003545D8" w:rsidRPr="003545D8" w:rsidRDefault="003545D8" w:rsidP="008745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Рівень поінформованості суб’єктів господарювання та/або фізичних осіб з основних положень акту - середній, у зв’язку з тим, що проект регуляторного акту з аналізом регуляторного впливу оприлюднюється на офіційній сторінці в мережі  Інтернет </w:t>
      </w:r>
      <w:r w:rsidR="008745DC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Миколаївської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міської ради.</w:t>
      </w:r>
    </w:p>
    <w:p w:rsidR="003545D8" w:rsidRPr="003545D8" w:rsidRDefault="003545D8" w:rsidP="003545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8745D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uk-UA"/>
        </w:rPr>
        <w:t>ІХ. Визначення заходів, за допомогою яких здійснюватиметься відстеження результативності дії регуляторного акту</w:t>
      </w:r>
    </w:p>
    <w:p w:rsidR="003545D8" w:rsidRPr="003545D8" w:rsidRDefault="003545D8" w:rsidP="0087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Відстеження результативності регуляторного акту здійснюватиметься </w:t>
      </w:r>
      <w:r w:rsidR="00620419" w:rsidRPr="00620419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департаментом</w:t>
      </w:r>
      <w:r w:rsidRPr="00620419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житлово-комунального господарства </w:t>
      </w:r>
      <w:r w:rsidR="008745DC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Миколаївської</w:t>
      </w: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міської ради шляхом збору та аналізу інформації зацікавлених юридичних та фізичних осіб, зауважень та пропозицій від населення та суб’єктів господарювання, а також статистичної інформації.</w:t>
      </w:r>
    </w:p>
    <w:p w:rsidR="003545D8" w:rsidRPr="003545D8" w:rsidRDefault="003545D8" w:rsidP="0087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Проведення відстеження результативності буде здійснюватися за допомогою статистичного методу.</w:t>
      </w:r>
    </w:p>
    <w:p w:rsidR="003545D8" w:rsidRPr="003545D8" w:rsidRDefault="003545D8" w:rsidP="0087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Базове відстеження результативності регуляторного акту буде здійснюватися до дня набрання чинності цим регуляторним актом.</w:t>
      </w:r>
    </w:p>
    <w:p w:rsidR="003545D8" w:rsidRPr="003545D8" w:rsidRDefault="003545D8" w:rsidP="0087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Повторне відстеження результативності буде здійснюватися через рік з дня набрання чинності регуляторним актом. </w:t>
      </w:r>
    </w:p>
    <w:p w:rsidR="003545D8" w:rsidRPr="003545D8" w:rsidRDefault="003545D8" w:rsidP="00874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545D8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Періодичне відстеження здійснюватиметься один раз на три роки починаючи з дня виконання заходів з повторного відстеження.</w:t>
      </w:r>
    </w:p>
    <w:p w:rsidR="001B0E46" w:rsidRDefault="00A34034" w:rsidP="0087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34" w:rsidRDefault="00A34034" w:rsidP="0087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34" w:rsidRPr="00A34034" w:rsidRDefault="00A34034" w:rsidP="00A3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34" w:rsidRPr="00A34034" w:rsidRDefault="00A34034" w:rsidP="00A3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34">
        <w:rPr>
          <w:rFonts w:ascii="Times New Roman" w:hAnsi="Times New Roman" w:cs="Times New Roman"/>
          <w:sz w:val="24"/>
          <w:szCs w:val="24"/>
        </w:rPr>
        <w:t>Директор юридичного департаменту</w:t>
      </w:r>
    </w:p>
    <w:p w:rsidR="00A34034" w:rsidRPr="00A34034" w:rsidRDefault="00A34034" w:rsidP="00A3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34">
        <w:rPr>
          <w:rFonts w:ascii="Times New Roman" w:hAnsi="Times New Roman" w:cs="Times New Roman"/>
          <w:sz w:val="24"/>
          <w:szCs w:val="24"/>
        </w:rPr>
        <w:t>Миколаївської міської ради                                                                                         І.БОЧАРОВА</w:t>
      </w:r>
    </w:p>
    <w:p w:rsidR="00A34034" w:rsidRPr="008745DC" w:rsidRDefault="00A34034" w:rsidP="0087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034" w:rsidRPr="008745DC" w:rsidSect="008745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D03"/>
    <w:multiLevelType w:val="multilevel"/>
    <w:tmpl w:val="F7D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D581C"/>
    <w:multiLevelType w:val="multilevel"/>
    <w:tmpl w:val="FFC82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15A21"/>
    <w:multiLevelType w:val="multilevel"/>
    <w:tmpl w:val="E4E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F1779"/>
    <w:multiLevelType w:val="multilevel"/>
    <w:tmpl w:val="887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80C05"/>
    <w:multiLevelType w:val="multilevel"/>
    <w:tmpl w:val="7EEC9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66"/>
    <w:rsid w:val="002B0C66"/>
    <w:rsid w:val="003545D8"/>
    <w:rsid w:val="00452622"/>
    <w:rsid w:val="00533C81"/>
    <w:rsid w:val="00620419"/>
    <w:rsid w:val="008745DC"/>
    <w:rsid w:val="0087573E"/>
    <w:rsid w:val="00A34034"/>
    <w:rsid w:val="00A71BE5"/>
    <w:rsid w:val="00A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96C5-6F59-49C3-ACBC-3C4529AF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45D8"/>
    <w:rPr>
      <w:b/>
      <w:bCs/>
    </w:rPr>
  </w:style>
  <w:style w:type="character" w:styleId="a5">
    <w:name w:val="Emphasis"/>
    <w:basedOn w:val="a0"/>
    <w:uiPriority w:val="20"/>
    <w:qFormat/>
    <w:rsid w:val="003545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6794</Words>
  <Characters>3873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user260f</dc:creator>
  <cp:keywords/>
  <dc:description/>
  <cp:lastModifiedBy>user260f</cp:lastModifiedBy>
  <cp:revision>4</cp:revision>
  <cp:lastPrinted>2021-09-15T10:10:00Z</cp:lastPrinted>
  <dcterms:created xsi:type="dcterms:W3CDTF">2021-09-15T11:50:00Z</dcterms:created>
  <dcterms:modified xsi:type="dcterms:W3CDTF">2021-09-15T12:22:00Z</dcterms:modified>
</cp:coreProperties>
</file>