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0F" w:rsidRDefault="00605E0F" w:rsidP="002F6A17">
      <w:pPr>
        <w:spacing w:after="0" w:line="240" w:lineRule="auto"/>
        <w:jc w:val="right"/>
        <w:rPr>
          <w:rFonts w:ascii="Times New Roman" w:hAnsi="Times New Roman"/>
          <w:sz w:val="28"/>
          <w:szCs w:val="28"/>
        </w:rPr>
      </w:pPr>
      <w:r>
        <w:rPr>
          <w:rFonts w:ascii="Times New Roman" w:hAnsi="Times New Roman"/>
          <w:sz w:val="28"/>
          <w:szCs w:val="28"/>
        </w:rPr>
        <w:t>Додаток 3</w:t>
      </w:r>
      <w:bookmarkStart w:id="0" w:name="_GoBack"/>
      <w:bookmarkEnd w:id="0"/>
    </w:p>
    <w:p w:rsidR="00605E0F" w:rsidRPr="002F6A17" w:rsidRDefault="00605E0F" w:rsidP="00D93F8C">
      <w:pPr>
        <w:spacing w:after="0" w:line="240" w:lineRule="auto"/>
        <w:jc w:val="center"/>
        <w:rPr>
          <w:rFonts w:ascii="Times New Roman" w:hAnsi="Times New Roman"/>
          <w:sz w:val="28"/>
          <w:szCs w:val="28"/>
        </w:rPr>
      </w:pPr>
    </w:p>
    <w:p w:rsidR="00605E0F" w:rsidRPr="00D93F8C" w:rsidRDefault="00605E0F" w:rsidP="00D93F8C">
      <w:pPr>
        <w:spacing w:after="0" w:line="240" w:lineRule="auto"/>
        <w:jc w:val="center"/>
        <w:rPr>
          <w:rFonts w:ascii="Times New Roman" w:hAnsi="Times New Roman"/>
          <w:sz w:val="28"/>
          <w:szCs w:val="28"/>
        </w:rPr>
      </w:pPr>
      <w:r w:rsidRPr="003F44C2">
        <w:rPr>
          <w:rFonts w:ascii="Times New Roman" w:hAnsi="Times New Roman"/>
          <w:b/>
          <w:sz w:val="28"/>
          <w:szCs w:val="28"/>
        </w:rPr>
        <w:t>ПОРЯДОК ДІЙ ДЛЯ ЗМІНИ ПОСТАЧАЛЬНИКА ГАЗУ З ВИКОРИСТАННЯМ СЕРВІСУ ГАЗОТЕКА</w:t>
      </w:r>
    </w:p>
    <w:p w:rsidR="00605E0F" w:rsidRPr="007C6D25" w:rsidRDefault="00605E0F" w:rsidP="0041094C">
      <w:pPr>
        <w:spacing w:after="0" w:line="240" w:lineRule="auto"/>
        <w:ind w:firstLine="709"/>
        <w:jc w:val="both"/>
        <w:rPr>
          <w:rFonts w:ascii="Times New Roman" w:hAnsi="Times New Roman"/>
          <w:sz w:val="16"/>
          <w:szCs w:val="16"/>
        </w:rPr>
      </w:pPr>
    </w:p>
    <w:p w:rsidR="00605E0F" w:rsidRPr="007C6D25" w:rsidRDefault="00605E0F" w:rsidP="0041094C">
      <w:pPr>
        <w:spacing w:after="0" w:line="240" w:lineRule="auto"/>
        <w:jc w:val="both"/>
        <w:rPr>
          <w:rFonts w:ascii="Times New Roman" w:hAnsi="Times New Roman"/>
          <w:sz w:val="16"/>
          <w:szCs w:val="16"/>
        </w:rPr>
      </w:pPr>
    </w:p>
    <w:p w:rsidR="00605E0F" w:rsidRDefault="00605E0F" w:rsidP="001A7BD3">
      <w:pPr>
        <w:spacing w:after="0" w:line="240" w:lineRule="auto"/>
        <w:ind w:firstLine="567"/>
        <w:jc w:val="both"/>
        <w:rPr>
          <w:rFonts w:ascii="proba_pro_regular" w:hAnsi="proba_pro_regular"/>
          <w:color w:val="1D1D1B"/>
          <w:sz w:val="28"/>
          <w:szCs w:val="28"/>
          <w:lang w:eastAsia="ru-RU"/>
        </w:rPr>
      </w:pPr>
      <w:r w:rsidRPr="003F44C2">
        <w:rPr>
          <w:rFonts w:ascii="Times New Roman" w:hAnsi="Times New Roman"/>
          <w:sz w:val="28"/>
          <w:szCs w:val="28"/>
        </w:rPr>
        <w:t>1.</w:t>
      </w:r>
      <w:r>
        <w:rPr>
          <w:rFonts w:ascii="Times New Roman" w:hAnsi="Times New Roman"/>
          <w:sz w:val="28"/>
          <w:szCs w:val="28"/>
        </w:rPr>
        <w:t xml:space="preserve"> </w:t>
      </w:r>
      <w:r w:rsidRPr="000D45D8">
        <w:rPr>
          <w:rFonts w:ascii="proba_pro_regular" w:hAnsi="proba_pro_regular"/>
          <w:color w:val="1D1D1B"/>
          <w:sz w:val="28"/>
          <w:szCs w:val="28"/>
          <w:lang w:eastAsia="ru-RU"/>
        </w:rPr>
        <w:t>Обрати нового постачальника газу можливо, скориставшись сервісом Газотека (</w:t>
      </w:r>
      <w:hyperlink r:id="rId5" w:history="1">
        <w:r w:rsidRPr="000D45D8">
          <w:rPr>
            <w:rFonts w:ascii="proba_pro_regular" w:hAnsi="proba_pro_regular"/>
            <w:color w:val="2D5CA6"/>
            <w:sz w:val="28"/>
            <w:szCs w:val="28"/>
            <w:u w:val="single"/>
            <w:lang w:eastAsia="ru-RU"/>
          </w:rPr>
          <w:t>https://gasoteka.ua-energy.org</w:t>
        </w:r>
      </w:hyperlink>
      <w:r w:rsidRPr="000D45D8">
        <w:rPr>
          <w:rFonts w:ascii="proba_pro_regular" w:hAnsi="proba_pro_regular"/>
          <w:color w:val="1D1D1B"/>
          <w:sz w:val="28"/>
          <w:szCs w:val="28"/>
          <w:lang w:eastAsia="ru-RU"/>
        </w:rPr>
        <w:t>).</w:t>
      </w:r>
    </w:p>
    <w:p w:rsidR="00605E0F" w:rsidRPr="007C6D25" w:rsidRDefault="00605E0F" w:rsidP="0041094C">
      <w:pPr>
        <w:shd w:val="clear" w:color="auto" w:fill="FFFFFF"/>
        <w:spacing w:after="0" w:line="240" w:lineRule="auto"/>
        <w:jc w:val="both"/>
        <w:rPr>
          <w:rFonts w:ascii="proba_pro_regular" w:hAnsi="proba_pro_regular"/>
          <w:color w:val="1D1D1B"/>
          <w:sz w:val="16"/>
          <w:szCs w:val="16"/>
          <w:lang w:eastAsia="ru-RU"/>
        </w:rPr>
      </w:pPr>
    </w:p>
    <w:p w:rsidR="00605E0F" w:rsidRPr="000D45D8" w:rsidRDefault="00605E0F" w:rsidP="001A7BD3">
      <w:pPr>
        <w:shd w:val="clear" w:color="auto" w:fill="FFFFFF"/>
        <w:spacing w:after="0" w:line="240" w:lineRule="auto"/>
        <w:ind w:firstLine="567"/>
        <w:jc w:val="both"/>
        <w:rPr>
          <w:rFonts w:ascii="proba_pro_regular" w:hAnsi="proba_pro_regular"/>
          <w:color w:val="1D1D1B"/>
          <w:sz w:val="28"/>
          <w:szCs w:val="28"/>
          <w:lang w:eastAsia="ru-RU"/>
        </w:rPr>
      </w:pPr>
      <w:r w:rsidRPr="000D45D8">
        <w:rPr>
          <w:rFonts w:ascii="proba_pro_regular" w:hAnsi="proba_pro_regular"/>
          <w:bCs/>
          <w:color w:val="1D1D1B"/>
          <w:sz w:val="28"/>
          <w:szCs w:val="28"/>
          <w:lang w:eastAsia="ru-RU"/>
        </w:rPr>
        <w:t>2.</w:t>
      </w:r>
      <w:r w:rsidRPr="000D45D8">
        <w:rPr>
          <w:rFonts w:ascii="proba_pro_regular" w:hAnsi="proba_pro_regular"/>
          <w:color w:val="1D1D1B"/>
          <w:sz w:val="28"/>
          <w:szCs w:val="28"/>
          <w:lang w:eastAsia="ru-RU"/>
        </w:rPr>
        <w:t> </w:t>
      </w:r>
      <w:r w:rsidRPr="000D45D8">
        <w:rPr>
          <w:rFonts w:ascii="proba_pro_regular" w:hAnsi="proba_pro_regular"/>
          <w:bCs/>
          <w:color w:val="1D1D1B"/>
          <w:sz w:val="28"/>
          <w:szCs w:val="28"/>
          <w:lang w:eastAsia="ru-RU"/>
        </w:rPr>
        <w:t>Подати заяву-приєднання встановленого зразка до нового постачальника.</w:t>
      </w:r>
    </w:p>
    <w:p w:rsidR="00605E0F" w:rsidRPr="007C6D25" w:rsidRDefault="00605E0F" w:rsidP="0041094C">
      <w:pPr>
        <w:shd w:val="clear" w:color="auto" w:fill="FFFFFF"/>
        <w:spacing w:after="0" w:line="240" w:lineRule="auto"/>
        <w:jc w:val="both"/>
        <w:rPr>
          <w:rFonts w:ascii="proba_pro_regular" w:hAnsi="proba_pro_regular"/>
          <w:color w:val="1D1D1B"/>
          <w:sz w:val="16"/>
          <w:szCs w:val="16"/>
          <w:lang w:eastAsia="ru-RU"/>
        </w:rPr>
      </w:pPr>
    </w:p>
    <w:p w:rsidR="00605E0F" w:rsidRDefault="00605E0F" w:rsidP="00C82833">
      <w:pPr>
        <w:shd w:val="clear" w:color="auto" w:fill="FFFFFF"/>
        <w:spacing w:after="0" w:line="240" w:lineRule="auto"/>
        <w:ind w:firstLine="567"/>
        <w:jc w:val="both"/>
        <w:rPr>
          <w:rFonts w:ascii="proba_pro_regular" w:hAnsi="proba_pro_regular"/>
          <w:color w:val="1D1D1B"/>
          <w:sz w:val="28"/>
          <w:szCs w:val="28"/>
          <w:lang w:eastAsia="ru-RU"/>
        </w:rPr>
      </w:pPr>
      <w:r w:rsidRPr="000D45D8">
        <w:rPr>
          <w:rFonts w:ascii="proba_pro_regular" w:hAnsi="proba_pro_regular"/>
          <w:color w:val="1D1D1B"/>
          <w:sz w:val="28"/>
          <w:szCs w:val="28"/>
          <w:lang w:eastAsia="ru-RU"/>
        </w:rPr>
        <w:t>Це можна зробити як на сайті нового постачальника, так і надіслати йому скановану/сфотографовану заяву на електронну скриньку.</w:t>
      </w:r>
    </w:p>
    <w:p w:rsidR="00605E0F" w:rsidRPr="001A7BD3" w:rsidRDefault="00605E0F" w:rsidP="00C82833">
      <w:pPr>
        <w:shd w:val="clear" w:color="auto" w:fill="FFFFFF"/>
        <w:spacing w:after="0" w:line="240" w:lineRule="auto"/>
        <w:ind w:firstLine="567"/>
        <w:jc w:val="both"/>
        <w:rPr>
          <w:rFonts w:ascii="proba_pro_regular" w:hAnsi="proba_pro_regular"/>
          <w:color w:val="1D1D1B"/>
          <w:sz w:val="12"/>
          <w:szCs w:val="12"/>
          <w:lang w:eastAsia="ru-RU"/>
        </w:rPr>
      </w:pPr>
    </w:p>
    <w:p w:rsidR="00605E0F" w:rsidRPr="000D45D8" w:rsidRDefault="00605E0F" w:rsidP="0041094C">
      <w:pPr>
        <w:shd w:val="clear" w:color="auto" w:fill="FFFFFF"/>
        <w:spacing w:after="0" w:line="240" w:lineRule="auto"/>
        <w:jc w:val="both"/>
        <w:rPr>
          <w:rFonts w:ascii="proba_pro_regular" w:hAnsi="proba_pro_regular"/>
          <w:color w:val="1D1D1B"/>
          <w:sz w:val="28"/>
          <w:szCs w:val="28"/>
          <w:lang w:eastAsia="ru-RU"/>
        </w:rPr>
      </w:pPr>
      <w:r w:rsidRPr="000D45D8">
        <w:rPr>
          <w:rFonts w:ascii="proba_pro_regular" w:hAnsi="proba_pro_regular"/>
          <w:color w:val="1D1D1B"/>
          <w:sz w:val="28"/>
          <w:szCs w:val="28"/>
          <w:lang w:eastAsia="ru-RU"/>
        </w:rPr>
        <w:t>Разом із заявою-приєднанням споживач пред’являє постачальнику:</w:t>
      </w:r>
    </w:p>
    <w:p w:rsidR="00605E0F" w:rsidRPr="000D45D8" w:rsidRDefault="00605E0F" w:rsidP="0041094C">
      <w:pPr>
        <w:numPr>
          <w:ilvl w:val="0"/>
          <w:numId w:val="1"/>
        </w:numPr>
        <w:shd w:val="clear" w:color="auto" w:fill="FFFFFF"/>
        <w:tabs>
          <w:tab w:val="clear" w:pos="720"/>
          <w:tab w:val="num" w:pos="284"/>
        </w:tabs>
        <w:spacing w:after="0" w:line="240" w:lineRule="auto"/>
        <w:ind w:left="284" w:firstLine="142"/>
        <w:jc w:val="both"/>
        <w:rPr>
          <w:rFonts w:ascii="proba_pro_regular" w:hAnsi="proba_pro_regular"/>
          <w:color w:val="1D1D1B"/>
          <w:sz w:val="28"/>
          <w:szCs w:val="28"/>
          <w:lang w:eastAsia="ru-RU"/>
        </w:rPr>
      </w:pPr>
      <w:r w:rsidRPr="000D45D8">
        <w:rPr>
          <w:rFonts w:ascii="proba_pro_regular" w:hAnsi="proba_pro_regular"/>
          <w:color w:val="1D1D1B"/>
          <w:sz w:val="28"/>
          <w:szCs w:val="28"/>
          <w:lang w:eastAsia="ru-RU"/>
        </w:rPr>
        <w:t>документи, якими визначено право власності чи користування на об’єкт (приміщення);</w:t>
      </w:r>
    </w:p>
    <w:p w:rsidR="00605E0F" w:rsidRPr="000D45D8" w:rsidRDefault="00605E0F" w:rsidP="0041094C">
      <w:pPr>
        <w:numPr>
          <w:ilvl w:val="0"/>
          <w:numId w:val="1"/>
        </w:numPr>
        <w:shd w:val="clear" w:color="auto" w:fill="FFFFFF"/>
        <w:tabs>
          <w:tab w:val="clear" w:pos="720"/>
          <w:tab w:val="num" w:pos="284"/>
        </w:tabs>
        <w:spacing w:after="0" w:line="240" w:lineRule="auto"/>
        <w:ind w:left="284" w:firstLine="142"/>
        <w:jc w:val="both"/>
        <w:rPr>
          <w:rFonts w:ascii="proba_pro_regular" w:hAnsi="proba_pro_regular"/>
          <w:color w:val="1D1D1B"/>
          <w:sz w:val="28"/>
          <w:szCs w:val="28"/>
          <w:lang w:eastAsia="ru-RU"/>
        </w:rPr>
      </w:pPr>
      <w:r w:rsidRPr="000D45D8">
        <w:rPr>
          <w:rFonts w:ascii="proba_pro_regular" w:hAnsi="proba_pro_regular"/>
          <w:color w:val="1D1D1B"/>
          <w:sz w:val="28"/>
          <w:szCs w:val="28"/>
          <w:lang w:eastAsia="ru-RU"/>
        </w:rPr>
        <w:t>документ, що посвідчує особу споживача (паспорт), а також реєстраційний номер облікової картки платника податків (ідентифікаційний код);</w:t>
      </w:r>
    </w:p>
    <w:p w:rsidR="00605E0F" w:rsidRPr="000D45D8" w:rsidRDefault="00605E0F" w:rsidP="0041094C">
      <w:pPr>
        <w:numPr>
          <w:ilvl w:val="0"/>
          <w:numId w:val="1"/>
        </w:numPr>
        <w:shd w:val="clear" w:color="auto" w:fill="FFFFFF"/>
        <w:tabs>
          <w:tab w:val="clear" w:pos="720"/>
          <w:tab w:val="num" w:pos="284"/>
        </w:tabs>
        <w:spacing w:after="0" w:line="240" w:lineRule="auto"/>
        <w:ind w:left="284" w:firstLine="142"/>
        <w:jc w:val="both"/>
        <w:rPr>
          <w:rFonts w:ascii="proba_pro_regular" w:hAnsi="proba_pro_regular"/>
          <w:color w:val="1D1D1B"/>
          <w:sz w:val="28"/>
          <w:szCs w:val="28"/>
          <w:lang w:eastAsia="ru-RU"/>
        </w:rPr>
      </w:pPr>
      <w:r w:rsidRPr="000D45D8">
        <w:rPr>
          <w:rFonts w:ascii="proba_pro_regular" w:hAnsi="proba_pro_regular"/>
          <w:color w:val="1D1D1B"/>
          <w:sz w:val="28"/>
          <w:szCs w:val="28"/>
          <w:lang w:eastAsia="ru-RU"/>
        </w:rPr>
        <w:t>інші документи, які може вимагати постачальник (перелік яких має бути визначений на сайті такого постачальника). Наприклад, це може бути останній рахунок за розподіл або постачання газу.</w:t>
      </w:r>
    </w:p>
    <w:p w:rsidR="00605E0F" w:rsidRDefault="00605E0F" w:rsidP="0041094C">
      <w:pPr>
        <w:shd w:val="clear" w:color="auto" w:fill="FFFFFF"/>
        <w:spacing w:after="0" w:line="240" w:lineRule="auto"/>
        <w:jc w:val="both"/>
        <w:rPr>
          <w:rFonts w:ascii="proba_pro_regular" w:hAnsi="proba_pro_regular"/>
          <w:color w:val="1D1D1B"/>
          <w:sz w:val="28"/>
          <w:szCs w:val="28"/>
          <w:lang w:eastAsia="ru-RU"/>
        </w:rPr>
      </w:pPr>
    </w:p>
    <w:p w:rsidR="00605E0F" w:rsidRPr="000D45D8" w:rsidRDefault="00605E0F" w:rsidP="0041094C">
      <w:pPr>
        <w:shd w:val="clear" w:color="auto" w:fill="FFFFFF"/>
        <w:spacing w:after="0" w:line="240" w:lineRule="auto"/>
        <w:jc w:val="both"/>
        <w:rPr>
          <w:rFonts w:ascii="proba_pro_regular" w:hAnsi="proba_pro_regular"/>
          <w:color w:val="1D1D1B"/>
          <w:sz w:val="28"/>
          <w:szCs w:val="28"/>
          <w:lang w:eastAsia="ru-RU"/>
        </w:rPr>
      </w:pPr>
      <w:r>
        <w:rPr>
          <w:rFonts w:ascii="proba_pro_regular" w:hAnsi="proba_pro_regular"/>
          <w:color w:val="1D1D1B"/>
          <w:sz w:val="28"/>
          <w:szCs w:val="28"/>
          <w:lang w:eastAsia="ru-RU"/>
        </w:rPr>
        <w:tab/>
      </w:r>
      <w:r w:rsidRPr="000D45D8">
        <w:rPr>
          <w:rFonts w:ascii="proba_pro_regular" w:hAnsi="proba_pro_regular"/>
          <w:color w:val="1D1D1B"/>
          <w:sz w:val="28"/>
          <w:szCs w:val="28"/>
          <w:lang w:eastAsia="ru-RU"/>
        </w:rPr>
        <w:t>Заяву також може подати й довірена особа власника приміщення, проте вона мусить мати оформлену належним чином довіреність.</w:t>
      </w:r>
    </w:p>
    <w:p w:rsidR="00605E0F" w:rsidRPr="007C6D25" w:rsidRDefault="00605E0F" w:rsidP="0041094C">
      <w:pPr>
        <w:shd w:val="clear" w:color="auto" w:fill="FFFFFF"/>
        <w:spacing w:after="0" w:line="240" w:lineRule="auto"/>
        <w:rPr>
          <w:rFonts w:ascii="proba_pro_regular" w:hAnsi="proba_pro_regular"/>
          <w:color w:val="1D1D1B"/>
          <w:sz w:val="16"/>
          <w:szCs w:val="16"/>
          <w:lang w:eastAsia="ru-RU"/>
        </w:rPr>
      </w:pPr>
    </w:p>
    <w:p w:rsidR="00605E0F" w:rsidRPr="000D45D8" w:rsidRDefault="00605E0F" w:rsidP="0041094C">
      <w:pPr>
        <w:shd w:val="clear" w:color="auto" w:fill="FFFFFF"/>
        <w:spacing w:after="0" w:line="240" w:lineRule="auto"/>
        <w:jc w:val="both"/>
        <w:rPr>
          <w:rFonts w:ascii="proba_pro_regular" w:hAnsi="proba_pro_regular"/>
          <w:color w:val="1D1D1B"/>
          <w:sz w:val="28"/>
          <w:szCs w:val="28"/>
          <w:lang w:eastAsia="ru-RU"/>
        </w:rPr>
      </w:pPr>
      <w:r>
        <w:rPr>
          <w:rFonts w:ascii="proba_pro_regular" w:hAnsi="proba_pro_regular"/>
          <w:color w:val="1D1D1B"/>
          <w:sz w:val="28"/>
          <w:szCs w:val="28"/>
          <w:lang w:eastAsia="ru-RU"/>
        </w:rPr>
        <w:tab/>
      </w:r>
      <w:r w:rsidRPr="000D45D8">
        <w:rPr>
          <w:rFonts w:ascii="proba_pro_regular" w:hAnsi="proba_pro_regular"/>
          <w:color w:val="1D1D1B"/>
          <w:sz w:val="28"/>
          <w:szCs w:val="28"/>
          <w:lang w:eastAsia="ru-RU"/>
        </w:rPr>
        <w:t>3. </w:t>
      </w:r>
      <w:r w:rsidRPr="000D45D8">
        <w:rPr>
          <w:rFonts w:ascii="proba_pro_regular" w:hAnsi="proba_pro_regular"/>
          <w:bCs/>
          <w:color w:val="1D1D1B"/>
          <w:sz w:val="28"/>
          <w:szCs w:val="28"/>
          <w:lang w:eastAsia="ru-RU"/>
        </w:rPr>
        <w:t>Очікувати повідомлення від нового постачальника про дату, з якої здійснюватиметься постачання природного газу.</w:t>
      </w:r>
    </w:p>
    <w:p w:rsidR="00605E0F" w:rsidRDefault="00605E0F" w:rsidP="0041094C">
      <w:pPr>
        <w:shd w:val="clear" w:color="auto" w:fill="FFFFFF"/>
        <w:spacing w:after="0" w:line="240" w:lineRule="auto"/>
        <w:jc w:val="both"/>
        <w:rPr>
          <w:rFonts w:ascii="proba_pro_regular" w:hAnsi="proba_pro_regular"/>
          <w:color w:val="1D1D1B"/>
          <w:sz w:val="28"/>
          <w:szCs w:val="28"/>
          <w:lang w:eastAsia="ru-RU"/>
        </w:rPr>
      </w:pPr>
    </w:p>
    <w:p w:rsidR="00605E0F" w:rsidRPr="000D45D8" w:rsidRDefault="00605E0F" w:rsidP="0041094C">
      <w:pPr>
        <w:shd w:val="clear" w:color="auto" w:fill="FFFFFF"/>
        <w:spacing w:after="0" w:line="240" w:lineRule="auto"/>
        <w:jc w:val="both"/>
        <w:rPr>
          <w:rFonts w:ascii="proba_pro_regular" w:hAnsi="proba_pro_regular"/>
          <w:color w:val="1D1D1B"/>
          <w:sz w:val="28"/>
          <w:szCs w:val="28"/>
          <w:lang w:eastAsia="ru-RU"/>
        </w:rPr>
      </w:pPr>
      <w:r>
        <w:rPr>
          <w:rFonts w:ascii="proba_pro_regular" w:hAnsi="proba_pro_regular"/>
          <w:color w:val="1D1D1B"/>
          <w:sz w:val="28"/>
          <w:szCs w:val="28"/>
          <w:lang w:eastAsia="ru-RU"/>
        </w:rPr>
        <w:tab/>
      </w:r>
      <w:r w:rsidRPr="000D45D8">
        <w:rPr>
          <w:rFonts w:ascii="proba_pro_regular" w:hAnsi="proba_pro_regular"/>
          <w:color w:val="1D1D1B"/>
          <w:sz w:val="28"/>
          <w:szCs w:val="28"/>
          <w:lang w:eastAsia="ru-RU"/>
        </w:rPr>
        <w:t>Нова компанія має для цього термін до 20 днів, однак конкуренція вже змушує компанії реагувати швидше. Після завершення процедури зміни постачальника новий постачальник протягом трьох робочих днів письмово повідомляє побутового споживача про дату, з якої здійснюється постачання природного газу.</w:t>
      </w:r>
    </w:p>
    <w:p w:rsidR="00605E0F" w:rsidRPr="007C6D25" w:rsidRDefault="00605E0F" w:rsidP="0041094C">
      <w:pPr>
        <w:shd w:val="clear" w:color="auto" w:fill="FFFFFF"/>
        <w:spacing w:after="0" w:line="240" w:lineRule="auto"/>
        <w:jc w:val="both"/>
        <w:rPr>
          <w:rFonts w:ascii="proba_pro_regular" w:hAnsi="proba_pro_regular"/>
          <w:color w:val="1D1D1B"/>
          <w:sz w:val="16"/>
          <w:szCs w:val="16"/>
          <w:lang w:eastAsia="ru-RU"/>
        </w:rPr>
      </w:pPr>
    </w:p>
    <w:p w:rsidR="00605E0F" w:rsidRDefault="00605E0F" w:rsidP="0041094C">
      <w:pPr>
        <w:shd w:val="clear" w:color="auto" w:fill="FFFFFF"/>
        <w:spacing w:after="0" w:line="240" w:lineRule="auto"/>
        <w:jc w:val="both"/>
        <w:rPr>
          <w:rFonts w:ascii="proba_pro_regular" w:hAnsi="proba_pro_regular"/>
          <w:bCs/>
          <w:color w:val="1D1D1B"/>
          <w:sz w:val="28"/>
          <w:szCs w:val="28"/>
          <w:lang w:eastAsia="ru-RU"/>
        </w:rPr>
      </w:pPr>
      <w:r>
        <w:rPr>
          <w:rFonts w:ascii="proba_pro_regular" w:hAnsi="proba_pro_regular"/>
          <w:color w:val="1D1D1B"/>
          <w:sz w:val="28"/>
          <w:szCs w:val="28"/>
          <w:lang w:eastAsia="ru-RU"/>
        </w:rPr>
        <w:tab/>
      </w:r>
      <w:r w:rsidRPr="000D45D8">
        <w:rPr>
          <w:rFonts w:ascii="proba_pro_regular" w:hAnsi="proba_pro_regular"/>
          <w:color w:val="1D1D1B"/>
          <w:sz w:val="28"/>
          <w:szCs w:val="28"/>
          <w:lang w:eastAsia="ru-RU"/>
        </w:rPr>
        <w:t>4. </w:t>
      </w:r>
      <w:r w:rsidRPr="000D45D8">
        <w:rPr>
          <w:rFonts w:ascii="proba_pro_regular" w:hAnsi="proba_pro_regular"/>
          <w:bCs/>
          <w:color w:val="1D1D1B"/>
          <w:sz w:val="28"/>
          <w:szCs w:val="28"/>
          <w:lang w:eastAsia="ru-RU"/>
        </w:rPr>
        <w:t>Отримати остаточний рахунок від попереднього постачальника протягом шести тижнів.</w:t>
      </w:r>
    </w:p>
    <w:p w:rsidR="00605E0F" w:rsidRPr="007C6D25" w:rsidRDefault="00605E0F" w:rsidP="0041094C">
      <w:pPr>
        <w:shd w:val="clear" w:color="auto" w:fill="FFFFFF"/>
        <w:spacing w:after="0" w:line="240" w:lineRule="auto"/>
        <w:jc w:val="both"/>
        <w:rPr>
          <w:rFonts w:ascii="proba_pro_regular" w:hAnsi="proba_pro_regular"/>
          <w:color w:val="1D1D1B"/>
          <w:sz w:val="16"/>
          <w:szCs w:val="16"/>
          <w:lang w:eastAsia="ru-RU"/>
        </w:rPr>
      </w:pPr>
    </w:p>
    <w:p w:rsidR="00605E0F" w:rsidRDefault="00605E0F" w:rsidP="0041094C">
      <w:pPr>
        <w:shd w:val="clear" w:color="auto" w:fill="FFFFFF"/>
        <w:spacing w:after="0" w:line="240" w:lineRule="auto"/>
        <w:jc w:val="both"/>
        <w:rPr>
          <w:rFonts w:ascii="proba_pro_regular" w:hAnsi="proba_pro_regular"/>
          <w:color w:val="1D1D1B"/>
          <w:sz w:val="28"/>
          <w:szCs w:val="28"/>
          <w:lang w:eastAsia="ru-RU"/>
        </w:rPr>
      </w:pPr>
      <w:r>
        <w:rPr>
          <w:rFonts w:ascii="proba_pro_regular" w:hAnsi="proba_pro_regular"/>
          <w:color w:val="1D1D1B"/>
          <w:sz w:val="28"/>
          <w:szCs w:val="28"/>
          <w:lang w:eastAsia="ru-RU"/>
        </w:rPr>
        <w:tab/>
      </w:r>
      <w:r w:rsidRPr="000D45D8">
        <w:rPr>
          <w:rFonts w:ascii="proba_pro_regular" w:hAnsi="proba_pro_regular"/>
          <w:color w:val="1D1D1B"/>
          <w:sz w:val="28"/>
          <w:szCs w:val="28"/>
          <w:lang w:eastAsia="ru-RU"/>
        </w:rPr>
        <w:t>Розрахуватись із попереднім постачальником упродовж десяти днів з моменту отримання рахунку. Якщо ж ви не погоджуєтеся із таким рахунком, тоді слід звернутися до суду.</w:t>
      </w:r>
    </w:p>
    <w:p w:rsidR="00605E0F" w:rsidRPr="000D45D8" w:rsidRDefault="00605E0F" w:rsidP="0041094C">
      <w:pPr>
        <w:shd w:val="clear" w:color="auto" w:fill="FFFFFF"/>
        <w:spacing w:after="0" w:line="240" w:lineRule="auto"/>
        <w:jc w:val="both"/>
        <w:rPr>
          <w:rFonts w:ascii="proba_pro_regular" w:hAnsi="proba_pro_regular"/>
          <w:color w:val="1D1D1B"/>
          <w:sz w:val="28"/>
          <w:szCs w:val="28"/>
          <w:lang w:eastAsia="ru-RU"/>
        </w:rPr>
      </w:pPr>
    </w:p>
    <w:p w:rsidR="00605E0F" w:rsidRDefault="00605E0F" w:rsidP="0041094C">
      <w:pPr>
        <w:shd w:val="clear" w:color="auto" w:fill="FFFFFF"/>
        <w:spacing w:after="0" w:line="240" w:lineRule="auto"/>
        <w:jc w:val="both"/>
        <w:rPr>
          <w:rFonts w:ascii="proba_pro_regular" w:hAnsi="proba_pro_regular"/>
          <w:b/>
          <w:color w:val="1D1D1B"/>
          <w:sz w:val="28"/>
          <w:szCs w:val="28"/>
          <w:lang w:eastAsia="ru-RU"/>
        </w:rPr>
      </w:pPr>
      <w:r w:rsidRPr="003F44C2">
        <w:rPr>
          <w:rFonts w:ascii="proba_pro_regular" w:hAnsi="proba_pro_regular"/>
          <w:b/>
          <w:color w:val="1D1D1B"/>
          <w:sz w:val="28"/>
          <w:szCs w:val="28"/>
          <w:lang w:eastAsia="ru-RU"/>
        </w:rPr>
        <w:t>Додатково.</w:t>
      </w:r>
    </w:p>
    <w:p w:rsidR="00605E0F" w:rsidRPr="000D45D8" w:rsidRDefault="00605E0F" w:rsidP="0041094C">
      <w:pPr>
        <w:shd w:val="clear" w:color="auto" w:fill="FFFFFF"/>
        <w:spacing w:after="0" w:line="240" w:lineRule="auto"/>
        <w:jc w:val="both"/>
        <w:rPr>
          <w:rFonts w:ascii="proba_pro_regular" w:hAnsi="proba_pro_regular"/>
          <w:color w:val="1D1D1B"/>
          <w:sz w:val="28"/>
          <w:szCs w:val="28"/>
          <w:lang w:eastAsia="ru-RU"/>
        </w:rPr>
      </w:pPr>
      <w:r w:rsidRPr="000D45D8">
        <w:rPr>
          <w:rFonts w:ascii="proba_pro_regular" w:hAnsi="proba_pro_regular"/>
          <w:color w:val="1D1D1B"/>
          <w:sz w:val="28"/>
          <w:szCs w:val="28"/>
          <w:lang w:eastAsia="ru-RU"/>
        </w:rPr>
        <w:t>Відсутність індивідуального газового лічильника не є перешкодою для зміни постачальника.</w:t>
      </w:r>
    </w:p>
    <w:p w:rsidR="00605E0F" w:rsidRDefault="00605E0F" w:rsidP="0041094C">
      <w:pPr>
        <w:shd w:val="clear" w:color="auto" w:fill="FFFFFF"/>
        <w:spacing w:after="0" w:line="240" w:lineRule="auto"/>
        <w:jc w:val="center"/>
        <w:rPr>
          <w:rFonts w:ascii="proba_pro_regular" w:hAnsi="proba_pro_regular"/>
          <w:b/>
          <w:bCs/>
          <w:color w:val="1D1D1B"/>
          <w:sz w:val="28"/>
          <w:szCs w:val="28"/>
          <w:lang w:val="ru-RU" w:eastAsia="ru-RU"/>
        </w:rPr>
      </w:pPr>
    </w:p>
    <w:p w:rsidR="00605E0F" w:rsidRPr="00F26F8A" w:rsidRDefault="00605E0F" w:rsidP="0041094C">
      <w:pPr>
        <w:spacing w:line="315" w:lineRule="atLeast"/>
        <w:jc w:val="both"/>
        <w:rPr>
          <w:rFonts w:ascii="Times New Roman" w:hAnsi="Times New Roman"/>
          <w:b/>
          <w:color w:val="282828"/>
          <w:spacing w:val="4"/>
          <w:sz w:val="28"/>
          <w:szCs w:val="28"/>
          <w:lang w:val="ru-RU"/>
        </w:rPr>
      </w:pPr>
      <w:r w:rsidRPr="00F26F8A">
        <w:rPr>
          <w:rFonts w:ascii="Times New Roman" w:hAnsi="Times New Roman"/>
          <w:b/>
          <w:color w:val="282828"/>
          <w:spacing w:val="4"/>
          <w:sz w:val="28"/>
          <w:szCs w:val="28"/>
          <w:lang w:val="ru-RU"/>
        </w:rPr>
        <w:t xml:space="preserve">В разі зміни постачальника газу особа, яка має пільги чи субсидії в обов’язковому порядку повинна повідомити органи соціального захисту населення.  </w:t>
      </w:r>
    </w:p>
    <w:p w:rsidR="00605E0F" w:rsidRDefault="00605E0F" w:rsidP="0041094C">
      <w:pPr>
        <w:shd w:val="clear" w:color="auto" w:fill="FFFFFF"/>
        <w:spacing w:after="0" w:line="240" w:lineRule="auto"/>
        <w:jc w:val="center"/>
        <w:rPr>
          <w:rFonts w:ascii="proba_pro_regular" w:hAnsi="proba_pro_regular"/>
          <w:b/>
          <w:bCs/>
          <w:color w:val="1D1D1B"/>
          <w:sz w:val="28"/>
          <w:szCs w:val="28"/>
          <w:lang w:val="ru-RU" w:eastAsia="ru-RU"/>
        </w:rPr>
      </w:pPr>
    </w:p>
    <w:sectPr w:rsidR="00605E0F" w:rsidSect="002F6A1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roba_pro_regul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D5B23"/>
    <w:multiLevelType w:val="multilevel"/>
    <w:tmpl w:val="0BE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756E19"/>
    <w:multiLevelType w:val="hybridMultilevel"/>
    <w:tmpl w:val="A668898E"/>
    <w:lvl w:ilvl="0" w:tplc="816EEB10">
      <w:start w:val="1"/>
      <w:numFmt w:val="bullet"/>
      <w:lvlText w:val="-"/>
      <w:lvlJc w:val="left"/>
      <w:pPr>
        <w:ind w:left="720" w:hanging="360"/>
      </w:pPr>
      <w:rPr>
        <w:rFonts w:ascii="proba_pro_regular" w:eastAsia="Times New Roman" w:hAnsi="proba_pro_regular"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0EF"/>
    <w:rsid w:val="00017F48"/>
    <w:rsid w:val="00036DC9"/>
    <w:rsid w:val="000507B5"/>
    <w:rsid w:val="000925E5"/>
    <w:rsid w:val="000A21C3"/>
    <w:rsid w:val="000D45D8"/>
    <w:rsid w:val="001255E2"/>
    <w:rsid w:val="001A7BD3"/>
    <w:rsid w:val="002708E1"/>
    <w:rsid w:val="002F6A17"/>
    <w:rsid w:val="003F44C2"/>
    <w:rsid w:val="0041094C"/>
    <w:rsid w:val="0045732A"/>
    <w:rsid w:val="004C63E1"/>
    <w:rsid w:val="00605E0F"/>
    <w:rsid w:val="00661AA6"/>
    <w:rsid w:val="0066787A"/>
    <w:rsid w:val="006C2CB8"/>
    <w:rsid w:val="00783AB6"/>
    <w:rsid w:val="007C6D25"/>
    <w:rsid w:val="007E3EDB"/>
    <w:rsid w:val="00A26856"/>
    <w:rsid w:val="00A26BAD"/>
    <w:rsid w:val="00A47A84"/>
    <w:rsid w:val="00AE0049"/>
    <w:rsid w:val="00B22647"/>
    <w:rsid w:val="00BD6B9C"/>
    <w:rsid w:val="00C82833"/>
    <w:rsid w:val="00C960EF"/>
    <w:rsid w:val="00CA7900"/>
    <w:rsid w:val="00D61790"/>
    <w:rsid w:val="00D93F8C"/>
    <w:rsid w:val="00DD3C1F"/>
    <w:rsid w:val="00EC4126"/>
    <w:rsid w:val="00F26F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47"/>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6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1094C"/>
    <w:pPr>
      <w:spacing w:after="240" w:line="480" w:lineRule="auto"/>
      <w:ind w:left="720" w:firstLine="360"/>
      <w:contextualSpacing/>
    </w:pPr>
    <w:rPr>
      <w:lang w:val="en-US" w:eastAsia="en-US"/>
    </w:rPr>
  </w:style>
  <w:style w:type="paragraph" w:styleId="NormalWeb">
    <w:name w:val="Normal (Web)"/>
    <w:basedOn w:val="Normal"/>
    <w:uiPriority w:val="99"/>
    <w:semiHidden/>
    <w:rsid w:val="00D93F8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93F8C"/>
    <w:rPr>
      <w:rFonts w:cs="Times New Roman"/>
      <w:color w:val="0000FF"/>
      <w:u w:val="single"/>
    </w:rPr>
  </w:style>
  <w:style w:type="paragraph" w:styleId="BalloonText">
    <w:name w:val="Balloon Text"/>
    <w:basedOn w:val="Normal"/>
    <w:link w:val="BalloonTextChar"/>
    <w:uiPriority w:val="99"/>
    <w:semiHidden/>
    <w:rsid w:val="002F6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6A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0625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soteka.ua-ener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293</Words>
  <Characters>1673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WiZaRd</dc:creator>
  <cp:keywords/>
  <dc:description/>
  <cp:lastModifiedBy>user158b</cp:lastModifiedBy>
  <cp:revision>2</cp:revision>
  <cp:lastPrinted>2021-01-16T12:57:00Z</cp:lastPrinted>
  <dcterms:created xsi:type="dcterms:W3CDTF">2021-01-19T09:35:00Z</dcterms:created>
  <dcterms:modified xsi:type="dcterms:W3CDTF">2021-01-19T09:35:00Z</dcterms:modified>
</cp:coreProperties>
</file>