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0B2470" w:rsidRPr="0005723B" w:rsidRDefault="00762846" w:rsidP="00762846">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p>
    <w:p w:rsidR="00CC5C46" w:rsidRPr="00AC5D14" w:rsidRDefault="00AC5D14" w:rsidP="0005723B">
      <w:pPr>
        <w:pStyle w:val="a6"/>
        <w:ind w:left="720"/>
        <w:jc w:val="both"/>
        <w:rPr>
          <w:rFonts w:ascii="Times New Roman" w:hAnsi="Times New Roman"/>
          <w:bCs/>
          <w:iCs/>
          <w:sz w:val="24"/>
          <w:szCs w:val="24"/>
        </w:rPr>
      </w:pPr>
      <w:r w:rsidRPr="00AC5D14">
        <w:rPr>
          <w:rFonts w:ascii="Times New Roman" w:hAnsi="Times New Roman"/>
          <w:bCs/>
          <w:iCs/>
          <w:sz w:val="24"/>
          <w:szCs w:val="24"/>
        </w:rPr>
        <w:t xml:space="preserve">Електрична енергія для об’єктів зовнішнього освітлення в Корабельному районі м. Миколаєва </w:t>
      </w:r>
      <w:r w:rsidR="007A685B" w:rsidRPr="00AC5D14">
        <w:rPr>
          <w:rFonts w:ascii="Times New Roman" w:hAnsi="Times New Roman"/>
          <w:bCs/>
          <w:iCs/>
          <w:sz w:val="24"/>
          <w:szCs w:val="24"/>
        </w:rPr>
        <w:t>за кодом ДК 0212015 – 09310000-5 Єдиного закупівельного словника</w:t>
      </w:r>
    </w:p>
    <w:p w:rsidR="007A685B" w:rsidRPr="00AC5D14" w:rsidRDefault="007A685B" w:rsidP="0005723B">
      <w:pPr>
        <w:pStyle w:val="a6"/>
        <w:ind w:left="720"/>
        <w:jc w:val="both"/>
        <w:rPr>
          <w:rFonts w:ascii="Times New Roman" w:hAnsi="Times New Roman"/>
          <w:bCs/>
          <w:iCs/>
          <w:sz w:val="24"/>
          <w:szCs w:val="24"/>
        </w:rPr>
      </w:pPr>
    </w:p>
    <w:p w:rsidR="00CE27DD" w:rsidRPr="00AC5D14" w:rsidRDefault="00762846" w:rsidP="0005723B">
      <w:pPr>
        <w:pStyle w:val="a6"/>
        <w:numPr>
          <w:ilvl w:val="0"/>
          <w:numId w:val="7"/>
        </w:numPr>
        <w:jc w:val="both"/>
        <w:rPr>
          <w:rFonts w:ascii="Times New Roman" w:hAnsi="Times New Roman"/>
          <w:bCs/>
          <w:iCs/>
          <w:sz w:val="24"/>
          <w:szCs w:val="24"/>
        </w:rPr>
      </w:pPr>
      <w:r w:rsidRPr="00AC5D14">
        <w:rPr>
          <w:rStyle w:val="a3"/>
          <w:rFonts w:ascii="Times New Roman" w:hAnsi="Times New Roman"/>
          <w:i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AC5D14">
        <w:rPr>
          <w:sz w:val="24"/>
          <w:szCs w:val="24"/>
        </w:rPr>
        <w:t xml:space="preserve"> </w:t>
      </w:r>
    </w:p>
    <w:p w:rsidR="00762846" w:rsidRPr="00AC5D14" w:rsidRDefault="00762846" w:rsidP="00CE27DD">
      <w:pPr>
        <w:pStyle w:val="a6"/>
        <w:ind w:left="720"/>
        <w:jc w:val="both"/>
        <w:rPr>
          <w:rStyle w:val="a3"/>
          <w:rFonts w:ascii="Times New Roman" w:hAnsi="Times New Roman"/>
          <w:b w:val="0"/>
          <w:iCs/>
          <w:sz w:val="24"/>
          <w:szCs w:val="24"/>
        </w:rPr>
      </w:pPr>
      <w:r w:rsidRPr="00AC5D14">
        <w:rPr>
          <w:rStyle w:val="a3"/>
          <w:rFonts w:ascii="Times New Roman" w:hAnsi="Times New Roman"/>
          <w:b w:val="0"/>
          <w:iCs/>
          <w:sz w:val="24"/>
          <w:szCs w:val="24"/>
        </w:rPr>
        <w:t xml:space="preserve">Комунальне підприємство ГДМБ (Госпрозрахункова дільниця механізація будівництва), </w:t>
      </w:r>
      <w:r w:rsidR="00CE27DD" w:rsidRPr="00AC5D14">
        <w:rPr>
          <w:rStyle w:val="a3"/>
          <w:rFonts w:ascii="Times New Roman" w:hAnsi="Times New Roman"/>
          <w:b w:val="0"/>
          <w:iCs/>
          <w:sz w:val="24"/>
          <w:szCs w:val="24"/>
        </w:rPr>
        <w:t xml:space="preserve">Україна, </w:t>
      </w:r>
      <w:r w:rsidRPr="00AC5D14">
        <w:rPr>
          <w:rStyle w:val="a3"/>
          <w:rFonts w:ascii="Times New Roman" w:hAnsi="Times New Roman"/>
          <w:b w:val="0"/>
          <w:iCs/>
          <w:sz w:val="24"/>
          <w:szCs w:val="24"/>
        </w:rPr>
        <w:t>Миколаївська обл.,  м. Миколаїв, 54034, вул. 2 Слобідська, 140, ЄДРПОУ 03331466 (</w:t>
      </w:r>
      <w:r w:rsidR="00CE27DD" w:rsidRPr="00AC5D14">
        <w:rPr>
          <w:rStyle w:val="a3"/>
          <w:rFonts w:ascii="Times New Roman" w:hAnsi="Times New Roman"/>
          <w:b w:val="0"/>
          <w:iCs/>
          <w:sz w:val="24"/>
          <w:szCs w:val="24"/>
        </w:rPr>
        <w:t>підприємство, яке забезпечує потреби територіальної громади (одержувач бюджетних коштів</w:t>
      </w:r>
      <w:r w:rsidRPr="00AC5D14">
        <w:rPr>
          <w:rStyle w:val="a3"/>
          <w:rFonts w:ascii="Times New Roman" w:hAnsi="Times New Roman"/>
          <w:b w:val="0"/>
          <w:iCs/>
          <w:sz w:val="24"/>
          <w:szCs w:val="24"/>
        </w:rPr>
        <w:t xml:space="preserve">)  </w:t>
      </w:r>
    </w:p>
    <w:p w:rsidR="00310537" w:rsidRPr="00AC5D14" w:rsidRDefault="00310537" w:rsidP="00CE27DD">
      <w:pPr>
        <w:pStyle w:val="a6"/>
        <w:ind w:left="720"/>
        <w:jc w:val="both"/>
        <w:rPr>
          <w:rStyle w:val="a3"/>
          <w:rFonts w:ascii="Times New Roman" w:hAnsi="Times New Roman"/>
          <w:b w:val="0"/>
          <w:iCs/>
          <w:sz w:val="24"/>
          <w:szCs w:val="24"/>
        </w:rPr>
      </w:pPr>
    </w:p>
    <w:p w:rsidR="006B107D" w:rsidRPr="0005723B" w:rsidRDefault="000B2470" w:rsidP="00CE27DD">
      <w:pPr>
        <w:pStyle w:val="a6"/>
        <w:numPr>
          <w:ilvl w:val="0"/>
          <w:numId w:val="7"/>
        </w:numPr>
        <w:rPr>
          <w:rFonts w:ascii="Times New Roman" w:hAnsi="Times New Roman"/>
          <w:i/>
          <w:sz w:val="24"/>
          <w:szCs w:val="24"/>
        </w:rPr>
      </w:pPr>
      <w:r w:rsidRPr="0005723B">
        <w:rPr>
          <w:rStyle w:val="a3"/>
          <w:rFonts w:ascii="Times New Roman" w:hAnsi="Times New Roman"/>
          <w:sz w:val="24"/>
          <w:szCs w:val="24"/>
        </w:rPr>
        <w:t>Вид та ідентифікатор процедури закупівлі:</w:t>
      </w:r>
      <w:r w:rsidRPr="0005723B">
        <w:rPr>
          <w:rFonts w:ascii="Times New Roman" w:hAnsi="Times New Roman"/>
          <w:sz w:val="24"/>
          <w:szCs w:val="24"/>
        </w:rPr>
        <w:t> </w:t>
      </w:r>
    </w:p>
    <w:p w:rsidR="00310537" w:rsidRDefault="00CC5C46" w:rsidP="00310537">
      <w:pPr>
        <w:pStyle w:val="a6"/>
        <w:ind w:left="720"/>
        <w:rPr>
          <w:rFonts w:ascii="Times New Roman" w:hAnsi="Times New Roman"/>
          <w:sz w:val="24"/>
          <w:szCs w:val="24"/>
        </w:rPr>
      </w:pPr>
      <w:r>
        <w:rPr>
          <w:rFonts w:ascii="Times New Roman" w:hAnsi="Times New Roman"/>
          <w:sz w:val="24"/>
          <w:szCs w:val="24"/>
        </w:rPr>
        <w:t>Запит ціни пропозицій</w:t>
      </w:r>
    </w:p>
    <w:p w:rsidR="00CC5C46" w:rsidRPr="0005723B" w:rsidRDefault="00CC5C46" w:rsidP="00310537">
      <w:pPr>
        <w:pStyle w:val="a6"/>
        <w:ind w:left="720"/>
        <w:rPr>
          <w:rFonts w:ascii="Times New Roman" w:hAnsi="Times New Roman"/>
          <w:i/>
          <w:sz w:val="24"/>
          <w:szCs w:val="24"/>
        </w:rPr>
      </w:pPr>
    </w:p>
    <w:p w:rsidR="00CC7D09" w:rsidRPr="0005723B" w:rsidRDefault="00CE27DD" w:rsidP="00762846">
      <w:pPr>
        <w:pStyle w:val="a6"/>
        <w:numPr>
          <w:ilvl w:val="0"/>
          <w:numId w:val="7"/>
        </w:numPr>
        <w:rPr>
          <w:rStyle w:val="a3"/>
          <w:rFonts w:ascii="Times New Roman" w:hAnsi="Times New Roman"/>
          <w:b w:val="0"/>
          <w:bCs w:val="0"/>
          <w:i/>
          <w:sz w:val="24"/>
          <w:szCs w:val="24"/>
        </w:rPr>
      </w:pPr>
      <w:r w:rsidRPr="0005723B">
        <w:rPr>
          <w:rStyle w:val="a3"/>
          <w:rFonts w:ascii="Times New Roman" w:hAnsi="Times New Roman"/>
          <w:sz w:val="24"/>
          <w:szCs w:val="24"/>
        </w:rPr>
        <w:t>КЕКВ:</w:t>
      </w:r>
      <w:r w:rsidR="00310537" w:rsidRPr="0005723B">
        <w:rPr>
          <w:rStyle w:val="a3"/>
          <w:rFonts w:ascii="Times New Roman" w:hAnsi="Times New Roman"/>
          <w:sz w:val="24"/>
          <w:szCs w:val="24"/>
        </w:rPr>
        <w:t xml:space="preserve"> </w:t>
      </w:r>
      <w:r w:rsidR="00310537" w:rsidRPr="0005723B">
        <w:rPr>
          <w:rStyle w:val="a3"/>
          <w:rFonts w:ascii="Times New Roman" w:hAnsi="Times New Roman"/>
          <w:b w:val="0"/>
          <w:sz w:val="24"/>
          <w:szCs w:val="24"/>
        </w:rPr>
        <w:t>2610</w:t>
      </w:r>
    </w:p>
    <w:p w:rsidR="00310537" w:rsidRPr="0005723B" w:rsidRDefault="00310537" w:rsidP="00310537">
      <w:pPr>
        <w:pStyle w:val="a6"/>
        <w:ind w:left="720"/>
        <w:rPr>
          <w:rStyle w:val="a3"/>
          <w:rFonts w:ascii="Times New Roman" w:hAnsi="Times New Roman"/>
          <w:b w:val="0"/>
          <w:bCs w:val="0"/>
          <w:i/>
          <w:sz w:val="24"/>
          <w:szCs w:val="24"/>
        </w:rPr>
      </w:pPr>
    </w:p>
    <w:p w:rsidR="000B2470" w:rsidRPr="0005723B" w:rsidRDefault="000B2470"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Очікувана вартість та обґрунтування очікуваної вартості предмета закупівлі:</w:t>
      </w:r>
    </w:p>
    <w:p w:rsidR="00C60C37" w:rsidRPr="0005723B" w:rsidRDefault="00AC5D14" w:rsidP="00CE27DD">
      <w:pPr>
        <w:pStyle w:val="a6"/>
        <w:jc w:val="both"/>
        <w:rPr>
          <w:rFonts w:ascii="Times New Roman" w:eastAsia="Times New Roman" w:hAnsi="Times New Roman"/>
          <w:kern w:val="36"/>
          <w:sz w:val="24"/>
          <w:szCs w:val="24"/>
        </w:rPr>
      </w:pPr>
      <w:r w:rsidRPr="00AC5D14">
        <w:rPr>
          <w:rFonts w:ascii="Times New Roman" w:hAnsi="Times New Roman"/>
          <w:sz w:val="24"/>
          <w:szCs w:val="24"/>
        </w:rPr>
        <w:t>2 868 042,76</w:t>
      </w:r>
      <w:r w:rsidR="000A0358">
        <w:rPr>
          <w:rFonts w:ascii="Times New Roman" w:hAnsi="Times New Roman"/>
          <w:sz w:val="24"/>
          <w:szCs w:val="24"/>
        </w:rPr>
        <w:t xml:space="preserve"> </w:t>
      </w:r>
      <w:r w:rsidR="00310537" w:rsidRPr="0005723B">
        <w:rPr>
          <w:rFonts w:ascii="Times New Roman" w:hAnsi="Times New Roman"/>
          <w:sz w:val="24"/>
          <w:szCs w:val="24"/>
        </w:rPr>
        <w:t>грн</w:t>
      </w:r>
      <w:r w:rsidR="00B01479" w:rsidRPr="0005723B">
        <w:rPr>
          <w:rFonts w:ascii="Times New Roman" w:hAnsi="Times New Roman"/>
          <w:sz w:val="24"/>
          <w:szCs w:val="24"/>
        </w:rPr>
        <w:t>.</w:t>
      </w:r>
      <w:r w:rsidR="00310537" w:rsidRPr="0005723B">
        <w:rPr>
          <w:rFonts w:ascii="Times New Roman" w:hAnsi="Times New Roman"/>
          <w:sz w:val="24"/>
          <w:szCs w:val="24"/>
        </w:rPr>
        <w:t xml:space="preserve"> з ПДВ. </w:t>
      </w:r>
      <w:r w:rsidR="00D344A9" w:rsidRPr="0005723B">
        <w:rPr>
          <w:rFonts w:ascii="Times New Roman" w:hAnsi="Times New Roman"/>
          <w:sz w:val="24"/>
          <w:szCs w:val="24"/>
        </w:rPr>
        <w:t>Очікувана вартість</w:t>
      </w:r>
      <w:r w:rsidR="000B2470" w:rsidRPr="0005723B">
        <w:rPr>
          <w:rFonts w:ascii="Times New Roman" w:hAnsi="Times New Roman"/>
          <w:sz w:val="24"/>
          <w:szCs w:val="24"/>
        </w:rPr>
        <w:t xml:space="preserve"> предмета закупівлі </w:t>
      </w:r>
      <w:r w:rsidR="00D344A9" w:rsidRPr="0005723B">
        <w:rPr>
          <w:rFonts w:ascii="Times New Roman" w:hAnsi="Times New Roman"/>
          <w:sz w:val="24"/>
          <w:szCs w:val="24"/>
        </w:rPr>
        <w:t>ви</w:t>
      </w:r>
      <w:r w:rsidR="006B107D" w:rsidRPr="0005723B">
        <w:rPr>
          <w:rFonts w:ascii="Times New Roman" w:hAnsi="Times New Roman"/>
          <w:sz w:val="24"/>
          <w:szCs w:val="24"/>
        </w:rPr>
        <w:t>значено з урахуванням положень п</w:t>
      </w:r>
      <w:r w:rsidR="00D344A9" w:rsidRPr="0005723B">
        <w:rPr>
          <w:rFonts w:ascii="Times New Roman" w:hAnsi="Times New Roman"/>
          <w:sz w:val="24"/>
          <w:szCs w:val="24"/>
        </w:rPr>
        <w:t xml:space="preserve">римірної методики визначення очікуваної вартості, затвердженої наказом </w:t>
      </w:r>
      <w:r w:rsidR="00D344A9" w:rsidRPr="0005723B">
        <w:rPr>
          <w:rFonts w:ascii="Times New Roman" w:hAnsi="Times New Roman"/>
          <w:color w:val="0E2938"/>
          <w:sz w:val="24"/>
          <w:szCs w:val="24"/>
          <w:shd w:val="clear" w:color="auto" w:fill="FFFFFF"/>
        </w:rPr>
        <w:t xml:space="preserve">Міністерства розвитку економіки, торгівлі та сільського господарства України </w:t>
      </w:r>
      <w:r w:rsidR="00D344A9" w:rsidRPr="0005723B">
        <w:rPr>
          <w:rFonts w:ascii="Times New Roman" w:hAnsi="Times New Roman"/>
          <w:sz w:val="24"/>
          <w:szCs w:val="24"/>
        </w:rPr>
        <w:t>від 18.02.2020 №</w:t>
      </w:r>
      <w:r w:rsidR="007A685B">
        <w:rPr>
          <w:rFonts w:ascii="Times New Roman" w:hAnsi="Times New Roman"/>
          <w:sz w:val="24"/>
          <w:szCs w:val="24"/>
        </w:rPr>
        <w:t xml:space="preserve"> </w:t>
      </w:r>
      <w:r w:rsidR="00D344A9" w:rsidRPr="0005723B">
        <w:rPr>
          <w:rFonts w:ascii="Times New Roman" w:hAnsi="Times New Roman"/>
          <w:sz w:val="24"/>
          <w:szCs w:val="24"/>
        </w:rPr>
        <w:t xml:space="preserve">275, шляхом отримання </w:t>
      </w:r>
      <w:r w:rsidR="003D6848" w:rsidRPr="0005723B">
        <w:rPr>
          <w:rFonts w:ascii="Times New Roman" w:hAnsi="Times New Roman"/>
          <w:sz w:val="24"/>
          <w:szCs w:val="24"/>
        </w:rPr>
        <w:t>3</w:t>
      </w:r>
      <w:r w:rsidR="0048416D" w:rsidRPr="0005723B">
        <w:rPr>
          <w:rFonts w:ascii="Times New Roman" w:hAnsi="Times New Roman"/>
          <w:sz w:val="24"/>
          <w:szCs w:val="24"/>
        </w:rPr>
        <w:t xml:space="preserve">-х </w:t>
      </w:r>
      <w:r w:rsidR="004679A6" w:rsidRPr="0005723B">
        <w:rPr>
          <w:rFonts w:ascii="Times New Roman" w:hAnsi="Times New Roman"/>
          <w:sz w:val="24"/>
          <w:szCs w:val="24"/>
        </w:rPr>
        <w:t>цінових пропозицій</w:t>
      </w:r>
      <w:r w:rsidR="0048416D" w:rsidRPr="0005723B">
        <w:rPr>
          <w:rFonts w:ascii="Times New Roman" w:hAnsi="Times New Roman"/>
          <w:sz w:val="24"/>
          <w:szCs w:val="24"/>
        </w:rPr>
        <w:t xml:space="preserve"> від потенційних постачальників</w:t>
      </w:r>
      <w:r w:rsidR="000B3DCB" w:rsidRPr="0005723B">
        <w:rPr>
          <w:rFonts w:ascii="Times New Roman" w:hAnsi="Times New Roman"/>
          <w:sz w:val="24"/>
          <w:szCs w:val="24"/>
        </w:rPr>
        <w:t xml:space="preserve"> (врахов</w:t>
      </w:r>
      <w:r w:rsidR="001E20BA" w:rsidRPr="0005723B">
        <w:rPr>
          <w:rFonts w:ascii="Times New Roman" w:hAnsi="Times New Roman"/>
          <w:sz w:val="24"/>
          <w:szCs w:val="24"/>
        </w:rPr>
        <w:t>уючі висновок ДВФКНПК ММР №</w:t>
      </w:r>
      <w:r w:rsidR="00CC5C46">
        <w:rPr>
          <w:rFonts w:ascii="Times New Roman" w:hAnsi="Times New Roman"/>
          <w:sz w:val="24"/>
          <w:szCs w:val="24"/>
        </w:rPr>
        <w:t xml:space="preserve"> </w:t>
      </w:r>
      <w:r>
        <w:rPr>
          <w:rFonts w:ascii="Times New Roman" w:hAnsi="Times New Roman"/>
          <w:sz w:val="24"/>
          <w:szCs w:val="24"/>
        </w:rPr>
        <w:t>42465/21.01-08/24-2 від 09.10.2024 року</w:t>
      </w:r>
      <w:r w:rsidR="000B3DCB" w:rsidRPr="0005723B">
        <w:rPr>
          <w:rFonts w:ascii="Times New Roman" w:hAnsi="Times New Roman"/>
          <w:sz w:val="24"/>
          <w:szCs w:val="24"/>
        </w:rPr>
        <w:t>)</w:t>
      </w:r>
      <w:r w:rsidR="0048416D" w:rsidRPr="0005723B">
        <w:rPr>
          <w:rFonts w:ascii="Times New Roman" w:hAnsi="Times New Roman"/>
          <w:sz w:val="24"/>
          <w:szCs w:val="24"/>
        </w:rPr>
        <w:t xml:space="preserve"> </w:t>
      </w:r>
      <w:r w:rsidR="00D344A9" w:rsidRPr="0005723B">
        <w:rPr>
          <w:rFonts w:ascii="Times New Roman" w:hAnsi="Times New Roman"/>
          <w:sz w:val="24"/>
          <w:szCs w:val="24"/>
        </w:rPr>
        <w:t>та розраховано середньозважен</w:t>
      </w:r>
      <w:r w:rsidR="00C60C37" w:rsidRPr="0005723B">
        <w:rPr>
          <w:rFonts w:ascii="Times New Roman" w:hAnsi="Times New Roman"/>
          <w:sz w:val="24"/>
          <w:szCs w:val="24"/>
        </w:rPr>
        <w:t xml:space="preserve">е значення очікуваної вартості. </w:t>
      </w:r>
      <w:r w:rsidR="00B27507" w:rsidRPr="0005723B">
        <w:rPr>
          <w:rFonts w:ascii="Times New Roman" w:hAnsi="Times New Roman"/>
          <w:sz w:val="24"/>
          <w:szCs w:val="24"/>
        </w:rPr>
        <w:t>Пр</w:t>
      </w:r>
      <w:r w:rsidR="00C60C37" w:rsidRPr="0005723B">
        <w:rPr>
          <w:rFonts w:ascii="Times New Roman" w:eastAsia="Times New Roman" w:hAnsi="Times New Roman"/>
          <w:kern w:val="36"/>
          <w:sz w:val="24"/>
          <w:szCs w:val="24"/>
        </w:rPr>
        <w:t>огнозована кількісна потреб</w:t>
      </w:r>
      <w:r w:rsidR="004679A6" w:rsidRPr="0005723B">
        <w:rPr>
          <w:rFonts w:ascii="Times New Roman" w:eastAsia="Times New Roman" w:hAnsi="Times New Roman"/>
          <w:kern w:val="36"/>
          <w:sz w:val="24"/>
          <w:szCs w:val="24"/>
        </w:rPr>
        <w:t>а закупівлі на 202</w:t>
      </w:r>
      <w:r w:rsidR="00236226" w:rsidRPr="0005723B">
        <w:rPr>
          <w:rFonts w:ascii="Times New Roman" w:eastAsia="Times New Roman" w:hAnsi="Times New Roman"/>
          <w:kern w:val="36"/>
          <w:sz w:val="24"/>
          <w:szCs w:val="24"/>
        </w:rPr>
        <w:t>4</w:t>
      </w:r>
      <w:r w:rsidR="004679A6" w:rsidRPr="0005723B">
        <w:rPr>
          <w:rFonts w:ascii="Times New Roman" w:eastAsia="Times New Roman" w:hAnsi="Times New Roman"/>
          <w:kern w:val="36"/>
          <w:sz w:val="24"/>
          <w:szCs w:val="24"/>
        </w:rPr>
        <w:t xml:space="preserve"> рік </w:t>
      </w:r>
      <w:r w:rsidR="00236226" w:rsidRPr="0005723B">
        <w:rPr>
          <w:rFonts w:ascii="Times New Roman" w:eastAsia="Times New Roman" w:hAnsi="Times New Roman"/>
          <w:kern w:val="36"/>
          <w:sz w:val="24"/>
          <w:szCs w:val="24"/>
        </w:rPr>
        <w:t>розрахована відповідно</w:t>
      </w:r>
      <w:r w:rsidR="004679A6" w:rsidRPr="0005723B">
        <w:rPr>
          <w:rFonts w:ascii="Times New Roman" w:eastAsia="Times New Roman" w:hAnsi="Times New Roman"/>
          <w:kern w:val="36"/>
          <w:sz w:val="24"/>
          <w:szCs w:val="24"/>
        </w:rPr>
        <w:t xml:space="preserve"> до </w:t>
      </w:r>
      <w:r w:rsidR="00B20BF1" w:rsidRPr="0005723B">
        <w:rPr>
          <w:rFonts w:ascii="Times New Roman" w:eastAsia="Times New Roman" w:hAnsi="Times New Roman"/>
          <w:kern w:val="36"/>
          <w:sz w:val="24"/>
          <w:szCs w:val="24"/>
        </w:rPr>
        <w:t xml:space="preserve">службової записки </w:t>
      </w:r>
      <w:r w:rsidR="0005723B" w:rsidRPr="0005723B">
        <w:rPr>
          <w:rFonts w:ascii="Times New Roman" w:eastAsia="Times New Roman" w:hAnsi="Times New Roman"/>
          <w:kern w:val="36"/>
          <w:sz w:val="24"/>
          <w:szCs w:val="24"/>
        </w:rPr>
        <w:t xml:space="preserve"> </w:t>
      </w:r>
      <w:bookmarkStart w:id="0" w:name="_GoBack"/>
      <w:bookmarkEnd w:id="0"/>
      <w:r w:rsidR="006B107D" w:rsidRPr="0005723B">
        <w:rPr>
          <w:rFonts w:ascii="Times New Roman" w:eastAsia="Times New Roman" w:hAnsi="Times New Roman"/>
          <w:kern w:val="36"/>
          <w:sz w:val="24"/>
          <w:szCs w:val="24"/>
        </w:rPr>
        <w:t xml:space="preserve">№ </w:t>
      </w:r>
      <w:r>
        <w:rPr>
          <w:rFonts w:ascii="Times New Roman" w:eastAsia="Times New Roman" w:hAnsi="Times New Roman"/>
          <w:kern w:val="36"/>
          <w:sz w:val="24"/>
          <w:szCs w:val="24"/>
        </w:rPr>
        <w:t>128</w:t>
      </w:r>
      <w:r w:rsidR="006B107D" w:rsidRPr="0005723B">
        <w:rPr>
          <w:rFonts w:ascii="Times New Roman" w:eastAsia="Times New Roman" w:hAnsi="Times New Roman"/>
          <w:kern w:val="36"/>
          <w:sz w:val="24"/>
          <w:szCs w:val="24"/>
        </w:rPr>
        <w:t xml:space="preserve"> від </w:t>
      </w:r>
      <w:r>
        <w:rPr>
          <w:rFonts w:ascii="Times New Roman" w:eastAsia="Times New Roman" w:hAnsi="Times New Roman"/>
          <w:kern w:val="36"/>
          <w:sz w:val="24"/>
          <w:szCs w:val="24"/>
        </w:rPr>
        <w:t xml:space="preserve">30.09.2024 </w:t>
      </w:r>
      <w:r w:rsidR="0005723B" w:rsidRPr="0005723B">
        <w:rPr>
          <w:rFonts w:ascii="Times New Roman" w:eastAsia="Times New Roman" w:hAnsi="Times New Roman"/>
          <w:kern w:val="36"/>
          <w:sz w:val="24"/>
          <w:szCs w:val="24"/>
        </w:rPr>
        <w:t>року.</w:t>
      </w:r>
    </w:p>
    <w:p w:rsidR="00310537" w:rsidRPr="0005723B" w:rsidRDefault="00310537" w:rsidP="00CE27DD">
      <w:pPr>
        <w:pStyle w:val="a6"/>
        <w:jc w:val="both"/>
        <w:rPr>
          <w:rFonts w:ascii="Times New Roman" w:eastAsia="Times New Roman" w:hAnsi="Times New Roman"/>
          <w:kern w:val="36"/>
          <w:sz w:val="24"/>
          <w:szCs w:val="24"/>
        </w:rPr>
      </w:pPr>
    </w:p>
    <w:p w:rsidR="008548F7" w:rsidRPr="0005723B" w:rsidRDefault="001E20BA"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Технічні характеристики:</w:t>
      </w:r>
    </w:p>
    <w:tbl>
      <w:tblPr>
        <w:tblW w:w="12263" w:type="dxa"/>
        <w:tblCellSpacing w:w="15" w:type="dxa"/>
        <w:tblCellMar>
          <w:left w:w="0" w:type="dxa"/>
          <w:right w:w="0" w:type="dxa"/>
        </w:tblCellMar>
        <w:tblLook w:val="04A0" w:firstRow="1" w:lastRow="0" w:firstColumn="1" w:lastColumn="0" w:noHBand="0" w:noVBand="1"/>
      </w:tblPr>
      <w:tblGrid>
        <w:gridCol w:w="8124"/>
        <w:gridCol w:w="3848"/>
        <w:gridCol w:w="291"/>
      </w:tblGrid>
      <w:tr w:rsidR="000A0358" w:rsidRPr="000A0358" w:rsidTr="000A0358">
        <w:trPr>
          <w:tblCellSpacing w:w="15" w:type="dxa"/>
        </w:trPr>
        <w:tc>
          <w:tcPr>
            <w:tcW w:w="0" w:type="auto"/>
            <w:gridSpan w:val="3"/>
            <w:tcBorders>
              <w:top w:val="nil"/>
            </w:tcBorders>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proofErr w:type="gramStart"/>
            <w:r w:rsidRPr="000A0358">
              <w:rPr>
                <w:rFonts w:ascii="Times New Roman" w:hAnsi="Times New Roman"/>
                <w:b/>
                <w:bCs/>
                <w:sz w:val="24"/>
                <w:szCs w:val="24"/>
                <w:lang w:val="ru-RU"/>
              </w:rPr>
              <w:t>Техн</w:t>
            </w:r>
            <w:proofErr w:type="gramEnd"/>
            <w:r w:rsidRPr="000A0358">
              <w:rPr>
                <w:rFonts w:ascii="Times New Roman" w:hAnsi="Times New Roman"/>
                <w:b/>
                <w:bCs/>
                <w:sz w:val="24"/>
                <w:szCs w:val="24"/>
                <w:lang w:val="ru-RU"/>
              </w:rPr>
              <w:t>ічні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якісні</w:t>
            </w:r>
            <w:proofErr w:type="spellEnd"/>
            <w:r w:rsidRPr="000A0358">
              <w:rPr>
                <w:rFonts w:ascii="Times New Roman" w:hAnsi="Times New Roman"/>
                <w:b/>
                <w:bCs/>
                <w:sz w:val="24"/>
                <w:szCs w:val="24"/>
                <w:lang w:val="ru-RU"/>
              </w:rPr>
              <w:t xml:space="preserve"> та </w:t>
            </w:r>
            <w:proofErr w:type="spellStart"/>
            <w:r w:rsidRPr="000A0358">
              <w:rPr>
                <w:rFonts w:ascii="Times New Roman" w:hAnsi="Times New Roman"/>
                <w:b/>
                <w:bCs/>
                <w:sz w:val="24"/>
                <w:szCs w:val="24"/>
                <w:lang w:val="ru-RU"/>
              </w:rPr>
              <w:t>кількісні</w:t>
            </w:r>
            <w:proofErr w:type="spellEnd"/>
            <w:r w:rsidRPr="000A0358">
              <w:rPr>
                <w:rFonts w:ascii="Times New Roman" w:hAnsi="Times New Roman"/>
                <w:b/>
                <w:bCs/>
                <w:sz w:val="24"/>
                <w:szCs w:val="24"/>
                <w:lang w:val="ru-RU"/>
              </w:rPr>
              <w:t xml:space="preserve"> характеристики предмету </w:t>
            </w:r>
            <w:proofErr w:type="spellStart"/>
            <w:r w:rsidRPr="000A0358">
              <w:rPr>
                <w:rFonts w:ascii="Times New Roman" w:hAnsi="Times New Roman"/>
                <w:b/>
                <w:bCs/>
                <w:sz w:val="24"/>
                <w:szCs w:val="24"/>
                <w:lang w:val="ru-RU"/>
              </w:rPr>
              <w:t>закупівлі</w:t>
            </w:r>
            <w:proofErr w:type="spellEnd"/>
          </w:p>
        </w:tc>
      </w:tr>
      <w:tr w:rsidR="000A0358" w:rsidRPr="000A0358" w:rsidTr="000A0358">
        <w:trPr>
          <w:tblCellSpacing w:w="15" w:type="dxa"/>
        </w:trPr>
        <w:tc>
          <w:tcPr>
            <w:tcW w:w="0" w:type="auto"/>
            <w:tcBorders>
              <w:top w:val="nil"/>
            </w:tcBorders>
            <w:shd w:val="clear" w:color="auto" w:fill="F0F5F2"/>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Відповідність</w:t>
            </w:r>
            <w:proofErr w:type="spellEnd"/>
            <w:r w:rsidRPr="000A0358">
              <w:rPr>
                <w:rFonts w:ascii="Times New Roman" w:hAnsi="Times New Roman"/>
                <w:b/>
                <w:bCs/>
                <w:sz w:val="24"/>
                <w:szCs w:val="24"/>
                <w:lang w:val="ru-RU"/>
              </w:rPr>
              <w:t xml:space="preserve"> ДСТУ EN 50160:2023, та </w:t>
            </w:r>
            <w:proofErr w:type="spellStart"/>
            <w:r w:rsidRPr="000A0358">
              <w:rPr>
                <w:rFonts w:ascii="Times New Roman" w:hAnsi="Times New Roman"/>
                <w:b/>
                <w:bCs/>
                <w:sz w:val="24"/>
                <w:szCs w:val="24"/>
                <w:lang w:val="ru-RU"/>
              </w:rPr>
              <w:t>іншим</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вимогам</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згідно</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держстандарту</w:t>
            </w:r>
            <w:proofErr w:type="spellEnd"/>
          </w:p>
        </w:tc>
        <w:tc>
          <w:tcPr>
            <w:tcW w:w="0" w:type="auto"/>
            <w:tcBorders>
              <w:top w:val="nil"/>
            </w:tcBorders>
            <w:shd w:val="clear" w:color="auto" w:fill="F0F5F2"/>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Можливі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значення</w:t>
            </w:r>
            <w:proofErr w:type="spellEnd"/>
            <w:r w:rsidRPr="000A0358">
              <w:rPr>
                <w:rFonts w:ascii="Times New Roman" w:hAnsi="Times New Roman"/>
                <w:b/>
                <w:bCs/>
                <w:sz w:val="24"/>
                <w:szCs w:val="24"/>
                <w:lang w:val="ru-RU"/>
              </w:rPr>
              <w:t>:</w:t>
            </w:r>
          </w:p>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t>  Так</w:t>
            </w:r>
          </w:p>
        </w:tc>
        <w:tc>
          <w:tcPr>
            <w:tcW w:w="0" w:type="auto"/>
            <w:tcBorders>
              <w:top w:val="nil"/>
            </w:tcBorders>
            <w:shd w:val="clear" w:color="auto" w:fill="F0F5F2"/>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
        </w:tc>
      </w:tr>
      <w:tr w:rsidR="000A0358" w:rsidRPr="000A0358" w:rsidTr="000A0358">
        <w:trPr>
          <w:tblCellSpacing w:w="15" w:type="dxa"/>
        </w:trPr>
        <w:tc>
          <w:tcPr>
            <w:tcW w:w="0" w:type="auto"/>
            <w:tcBorders>
              <w:top w:val="nil"/>
            </w:tcBorders>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lastRenderedPageBreak/>
              <w:t>Тариф</w:t>
            </w:r>
          </w:p>
        </w:tc>
        <w:tc>
          <w:tcPr>
            <w:tcW w:w="0" w:type="auto"/>
            <w:tcBorders>
              <w:top w:val="nil"/>
            </w:tcBorders>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Можливі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значення</w:t>
            </w:r>
            <w:proofErr w:type="spellEnd"/>
            <w:r w:rsidRPr="000A0358">
              <w:rPr>
                <w:rFonts w:ascii="Times New Roman" w:hAnsi="Times New Roman"/>
                <w:b/>
                <w:bCs/>
                <w:sz w:val="24"/>
                <w:szCs w:val="24"/>
                <w:lang w:val="ru-RU"/>
              </w:rPr>
              <w:t>:</w:t>
            </w:r>
          </w:p>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формульне</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ціноутворення</w:t>
            </w:r>
            <w:proofErr w:type="spellEnd"/>
          </w:p>
        </w:tc>
        <w:tc>
          <w:tcPr>
            <w:tcW w:w="0" w:type="auto"/>
            <w:tcBorders>
              <w:top w:val="nil"/>
            </w:tcBorders>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
        </w:tc>
      </w:tr>
      <w:tr w:rsidR="000A0358" w:rsidRPr="000A0358" w:rsidTr="000A0358">
        <w:trPr>
          <w:tblCellSpacing w:w="15" w:type="dxa"/>
        </w:trPr>
        <w:tc>
          <w:tcPr>
            <w:tcW w:w="0" w:type="auto"/>
            <w:tcBorders>
              <w:top w:val="nil"/>
            </w:tcBorders>
            <w:shd w:val="clear" w:color="auto" w:fill="F0F5F2"/>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Послуги</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розподілу</w:t>
            </w:r>
            <w:proofErr w:type="spellEnd"/>
            <w:r w:rsidRPr="000A0358">
              <w:rPr>
                <w:rFonts w:ascii="Times New Roman" w:hAnsi="Times New Roman"/>
                <w:b/>
                <w:bCs/>
                <w:sz w:val="24"/>
                <w:szCs w:val="24"/>
                <w:lang w:val="ru-RU"/>
              </w:rPr>
              <w:t xml:space="preserve"> включено</w:t>
            </w:r>
          </w:p>
        </w:tc>
        <w:tc>
          <w:tcPr>
            <w:tcW w:w="0" w:type="auto"/>
            <w:tcBorders>
              <w:top w:val="nil"/>
            </w:tcBorders>
            <w:shd w:val="clear" w:color="auto" w:fill="F0F5F2"/>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Можливі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значення</w:t>
            </w:r>
            <w:proofErr w:type="spellEnd"/>
            <w:r w:rsidRPr="000A0358">
              <w:rPr>
                <w:rFonts w:ascii="Times New Roman" w:hAnsi="Times New Roman"/>
                <w:b/>
                <w:bCs/>
                <w:sz w:val="24"/>
                <w:szCs w:val="24"/>
                <w:lang w:val="ru-RU"/>
              </w:rPr>
              <w:t>:</w:t>
            </w:r>
          </w:p>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Ні</w:t>
            </w:r>
            <w:proofErr w:type="spellEnd"/>
          </w:p>
        </w:tc>
        <w:tc>
          <w:tcPr>
            <w:tcW w:w="0" w:type="auto"/>
            <w:tcBorders>
              <w:top w:val="nil"/>
            </w:tcBorders>
            <w:shd w:val="clear" w:color="auto" w:fill="F0F5F2"/>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
        </w:tc>
      </w:tr>
      <w:tr w:rsidR="000A0358" w:rsidRPr="000A0358" w:rsidTr="000A0358">
        <w:trPr>
          <w:tblCellSpacing w:w="15" w:type="dxa"/>
        </w:trPr>
        <w:tc>
          <w:tcPr>
            <w:tcW w:w="0" w:type="auto"/>
            <w:tcBorders>
              <w:top w:val="nil"/>
            </w:tcBorders>
            <w:tcMar>
              <w:top w:w="120" w:type="dxa"/>
              <w:left w:w="120" w:type="dxa"/>
              <w:bottom w:w="120" w:type="dxa"/>
              <w:right w:w="225"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Термі</w:t>
            </w:r>
            <w:proofErr w:type="gramStart"/>
            <w:r w:rsidRPr="000A0358">
              <w:rPr>
                <w:rFonts w:ascii="Times New Roman" w:hAnsi="Times New Roman"/>
                <w:b/>
                <w:bCs/>
                <w:sz w:val="24"/>
                <w:szCs w:val="24"/>
                <w:lang w:val="ru-RU"/>
              </w:rPr>
              <w:t>н</w:t>
            </w:r>
            <w:proofErr w:type="spellEnd"/>
            <w:proofErr w:type="gramEnd"/>
          </w:p>
        </w:tc>
        <w:tc>
          <w:tcPr>
            <w:tcW w:w="0" w:type="auto"/>
            <w:tcBorders>
              <w:top w:val="nil"/>
            </w:tcBorders>
            <w:tcMar>
              <w:top w:w="120" w:type="dxa"/>
              <w:left w:w="120" w:type="dxa"/>
              <w:bottom w:w="120" w:type="dxa"/>
              <w:right w:w="120" w:type="dxa"/>
            </w:tcMar>
            <w:hideMark/>
          </w:tcPr>
          <w:p w:rsidR="000A0358" w:rsidRPr="000A0358" w:rsidRDefault="000A0358" w:rsidP="000A0358">
            <w:pPr>
              <w:pStyle w:val="a6"/>
              <w:ind w:left="720"/>
              <w:rPr>
                <w:rFonts w:ascii="Times New Roman" w:hAnsi="Times New Roman"/>
                <w:b/>
                <w:bCs/>
                <w:sz w:val="24"/>
                <w:szCs w:val="24"/>
                <w:lang w:val="ru-RU"/>
              </w:rPr>
            </w:pPr>
            <w:proofErr w:type="spellStart"/>
            <w:r w:rsidRPr="000A0358">
              <w:rPr>
                <w:rFonts w:ascii="Times New Roman" w:hAnsi="Times New Roman"/>
                <w:b/>
                <w:bCs/>
                <w:sz w:val="24"/>
                <w:szCs w:val="24"/>
                <w:lang w:val="ru-RU"/>
              </w:rPr>
              <w:t>Можливі</w:t>
            </w:r>
            <w:proofErr w:type="spellEnd"/>
            <w:r w:rsidRPr="000A0358">
              <w:rPr>
                <w:rFonts w:ascii="Times New Roman" w:hAnsi="Times New Roman"/>
                <w:b/>
                <w:bCs/>
                <w:sz w:val="24"/>
                <w:szCs w:val="24"/>
                <w:lang w:val="ru-RU"/>
              </w:rPr>
              <w:t xml:space="preserve"> </w:t>
            </w:r>
            <w:proofErr w:type="spellStart"/>
            <w:r w:rsidRPr="000A0358">
              <w:rPr>
                <w:rFonts w:ascii="Times New Roman" w:hAnsi="Times New Roman"/>
                <w:b/>
                <w:bCs/>
                <w:sz w:val="24"/>
                <w:szCs w:val="24"/>
                <w:lang w:val="ru-RU"/>
              </w:rPr>
              <w:t>значення</w:t>
            </w:r>
            <w:proofErr w:type="spellEnd"/>
            <w:r w:rsidRPr="000A0358">
              <w:rPr>
                <w:rFonts w:ascii="Times New Roman" w:hAnsi="Times New Roman"/>
                <w:b/>
                <w:bCs/>
                <w:sz w:val="24"/>
                <w:szCs w:val="24"/>
                <w:lang w:val="ru-RU"/>
              </w:rPr>
              <w:t>:</w:t>
            </w:r>
          </w:p>
          <w:p w:rsidR="000A0358" w:rsidRPr="000A0358" w:rsidRDefault="000A0358" w:rsidP="000A0358">
            <w:pPr>
              <w:pStyle w:val="a6"/>
              <w:ind w:left="720"/>
              <w:rPr>
                <w:rFonts w:ascii="Times New Roman" w:hAnsi="Times New Roman"/>
                <w:b/>
                <w:bCs/>
                <w:sz w:val="24"/>
                <w:szCs w:val="24"/>
                <w:lang w:val="ru-RU"/>
              </w:rPr>
            </w:pPr>
            <w:r w:rsidRPr="000A0358">
              <w:rPr>
                <w:rFonts w:ascii="Times New Roman" w:hAnsi="Times New Roman"/>
                <w:b/>
                <w:bCs/>
                <w:sz w:val="24"/>
                <w:szCs w:val="24"/>
                <w:lang w:val="ru-RU"/>
              </w:rPr>
              <w:t xml:space="preserve">  без </w:t>
            </w:r>
            <w:proofErr w:type="spellStart"/>
            <w:r w:rsidRPr="000A0358">
              <w:rPr>
                <w:rFonts w:ascii="Times New Roman" w:hAnsi="Times New Roman"/>
                <w:b/>
                <w:bCs/>
                <w:sz w:val="24"/>
                <w:szCs w:val="24"/>
                <w:lang w:val="ru-RU"/>
              </w:rPr>
              <w:t>обмежень</w:t>
            </w:r>
            <w:proofErr w:type="spellEnd"/>
          </w:p>
        </w:tc>
        <w:tc>
          <w:tcPr>
            <w:tcW w:w="0" w:type="auto"/>
            <w:vAlign w:val="center"/>
            <w:hideMark/>
          </w:tcPr>
          <w:p w:rsidR="000A0358" w:rsidRPr="000A0358" w:rsidRDefault="000A0358" w:rsidP="000A0358">
            <w:pPr>
              <w:pStyle w:val="a6"/>
              <w:ind w:left="720"/>
              <w:rPr>
                <w:rFonts w:ascii="Times New Roman" w:hAnsi="Times New Roman"/>
                <w:b/>
                <w:bCs/>
                <w:sz w:val="24"/>
                <w:szCs w:val="24"/>
                <w:lang w:val="ru-RU"/>
              </w:rPr>
            </w:pPr>
          </w:p>
        </w:tc>
      </w:tr>
    </w:tbl>
    <w:p w:rsidR="00310537" w:rsidRPr="0005723B" w:rsidRDefault="00310537" w:rsidP="00310537">
      <w:pPr>
        <w:pStyle w:val="a6"/>
        <w:ind w:left="720"/>
        <w:rPr>
          <w:rStyle w:val="a3"/>
          <w:rFonts w:ascii="Times New Roman" w:hAnsi="Times New Roman"/>
          <w:sz w:val="24"/>
          <w:szCs w:val="24"/>
        </w:rPr>
      </w:pPr>
    </w:p>
    <w:p w:rsidR="00CC5C46" w:rsidRDefault="00CE27DD" w:rsidP="00CC5C46">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постачання/виконання:</w:t>
      </w:r>
    </w:p>
    <w:p w:rsidR="00267D8B" w:rsidRPr="00CC5C46" w:rsidRDefault="000A0358" w:rsidP="000A0358">
      <w:pPr>
        <w:pStyle w:val="a6"/>
        <w:ind w:left="720"/>
        <w:jc w:val="both"/>
        <w:rPr>
          <w:rFonts w:ascii="Times New Roman" w:hAnsi="Times New Roman"/>
          <w:sz w:val="24"/>
          <w:szCs w:val="24"/>
        </w:rPr>
      </w:pPr>
      <w:r w:rsidRPr="000A0358">
        <w:rPr>
          <w:rFonts w:ascii="Times New Roman" w:hAnsi="Times New Roman"/>
          <w:sz w:val="24"/>
          <w:szCs w:val="24"/>
        </w:rPr>
        <w:t>Початком постачання електричної енергії Споживачу є дата, зазначена в заяві-приєднанні</w:t>
      </w:r>
      <w:r>
        <w:rPr>
          <w:rFonts w:ascii="Times New Roman" w:hAnsi="Times New Roman"/>
          <w:sz w:val="24"/>
          <w:szCs w:val="24"/>
        </w:rPr>
        <w:t xml:space="preserve">. </w:t>
      </w:r>
      <w:r w:rsidRPr="000A0358">
        <w:rPr>
          <w:rFonts w:ascii="Times New Roman" w:hAnsi="Times New Roman"/>
          <w:sz w:val="24"/>
          <w:szCs w:val="24"/>
        </w:rPr>
        <w:t>Споживач має право вільно змінювати Постачальника відповідно до процедури, визначеної</w:t>
      </w:r>
      <w:r>
        <w:rPr>
          <w:rFonts w:ascii="Times New Roman" w:hAnsi="Times New Roman"/>
          <w:sz w:val="24"/>
          <w:szCs w:val="24"/>
        </w:rPr>
        <w:t xml:space="preserve"> ПРРЕЕ, та умов цього Договору.</w:t>
      </w:r>
      <w:r w:rsidR="00AC5D14">
        <w:rPr>
          <w:rFonts w:ascii="Times New Roman" w:hAnsi="Times New Roman"/>
          <w:sz w:val="24"/>
          <w:szCs w:val="24"/>
        </w:rPr>
        <w:t xml:space="preserve"> </w:t>
      </w:r>
      <w:r w:rsidRPr="000A0358">
        <w:rPr>
          <w:rFonts w:ascii="Times New Roman" w:hAnsi="Times New Roman"/>
          <w:sz w:val="24"/>
          <w:szCs w:val="24"/>
        </w:rPr>
        <w:t>Строк (термін) поставки товарі</w:t>
      </w:r>
      <w:r>
        <w:rPr>
          <w:rFonts w:ascii="Times New Roman" w:hAnsi="Times New Roman"/>
          <w:sz w:val="24"/>
          <w:szCs w:val="24"/>
        </w:rPr>
        <w:t xml:space="preserve">в: до  31.12.2024 р. (включно). </w:t>
      </w:r>
      <w:r w:rsidRPr="000A0358">
        <w:rPr>
          <w:rFonts w:ascii="Times New Roman" w:hAnsi="Times New Roman"/>
          <w:sz w:val="24"/>
          <w:szCs w:val="24"/>
        </w:rPr>
        <w:t>Місце поставки товарів - за місцем знаходження об’єктів Споживача</w:t>
      </w:r>
      <w:r>
        <w:rPr>
          <w:rFonts w:ascii="Times New Roman" w:hAnsi="Times New Roman"/>
          <w:sz w:val="24"/>
          <w:szCs w:val="24"/>
        </w:rPr>
        <w:t>.</w:t>
      </w:r>
    </w:p>
    <w:p w:rsidR="00B35D20" w:rsidRPr="0005723B" w:rsidRDefault="003D6848" w:rsidP="00762846">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8B15ED" w:rsidRPr="008B15ED" w:rsidRDefault="008B15ED" w:rsidP="008B15ED">
      <w:pPr>
        <w:pStyle w:val="a6"/>
        <w:ind w:left="720"/>
        <w:jc w:val="both"/>
        <w:rPr>
          <w:rFonts w:ascii="Times New Roman" w:hAnsi="Times New Roman"/>
          <w:sz w:val="24"/>
          <w:szCs w:val="24"/>
        </w:rPr>
      </w:pPr>
      <w:r w:rsidRPr="008B15ED">
        <w:rPr>
          <w:rFonts w:ascii="Times New Roman" w:hAnsi="Times New Roman"/>
          <w:sz w:val="24"/>
          <w:szCs w:val="24"/>
        </w:rPr>
        <w:t xml:space="preserve">Розрахунки Споживача за цим Договором здійснюються на поточний рахунок із спеціальним режимом використання (далі – </w:t>
      </w:r>
      <w:proofErr w:type="spellStart"/>
      <w:r w:rsidRPr="008B15ED">
        <w:rPr>
          <w:rFonts w:ascii="Times New Roman" w:hAnsi="Times New Roman"/>
          <w:sz w:val="24"/>
          <w:szCs w:val="24"/>
        </w:rPr>
        <w:t>спецрахунок</w:t>
      </w:r>
      <w:proofErr w:type="spellEnd"/>
      <w:r w:rsidRPr="008B15ED">
        <w:rPr>
          <w:rFonts w:ascii="Times New Roman" w:hAnsi="Times New Roman"/>
          <w:sz w:val="24"/>
          <w:szCs w:val="24"/>
        </w:rPr>
        <w:t>).</w:t>
      </w:r>
    </w:p>
    <w:p w:rsidR="0005723B" w:rsidRPr="0005723B" w:rsidRDefault="008B15ED" w:rsidP="008B15ED">
      <w:pPr>
        <w:pStyle w:val="a6"/>
        <w:ind w:left="720"/>
        <w:jc w:val="both"/>
        <w:rPr>
          <w:rFonts w:ascii="Times New Roman" w:hAnsi="Times New Roman"/>
          <w:sz w:val="24"/>
          <w:szCs w:val="24"/>
        </w:rPr>
      </w:pPr>
      <w:r w:rsidRPr="008B15ED">
        <w:rPr>
          <w:rFonts w:ascii="Times New Roman" w:hAnsi="Times New Roman"/>
          <w:sz w:val="24"/>
          <w:szCs w:val="24"/>
        </w:rP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w:t>
      </w:r>
      <w:r>
        <w:rPr>
          <w:rFonts w:ascii="Times New Roman" w:hAnsi="Times New Roman"/>
          <w:sz w:val="24"/>
          <w:szCs w:val="24"/>
        </w:rPr>
        <w:t xml:space="preserve">м спосіб. </w:t>
      </w:r>
      <w:r w:rsidRPr="008B15ED">
        <w:rPr>
          <w:rFonts w:ascii="Times New Roman" w:hAnsi="Times New Roman"/>
          <w:sz w:val="24"/>
          <w:szCs w:val="24"/>
        </w:rPr>
        <w:t>Оплата вартості електричної енергії за цим Договором здійснюється Споживачем виключно шляхом перерахування кошті</w:t>
      </w:r>
      <w:r>
        <w:rPr>
          <w:rFonts w:ascii="Times New Roman" w:hAnsi="Times New Roman"/>
          <w:sz w:val="24"/>
          <w:szCs w:val="24"/>
        </w:rPr>
        <w:t xml:space="preserve">в на </w:t>
      </w:r>
      <w:proofErr w:type="spellStart"/>
      <w:r>
        <w:rPr>
          <w:rFonts w:ascii="Times New Roman" w:hAnsi="Times New Roman"/>
          <w:sz w:val="24"/>
          <w:szCs w:val="24"/>
        </w:rPr>
        <w:t>спецрахунок</w:t>
      </w:r>
      <w:proofErr w:type="spellEnd"/>
      <w:r>
        <w:rPr>
          <w:rFonts w:ascii="Times New Roman" w:hAnsi="Times New Roman"/>
          <w:sz w:val="24"/>
          <w:szCs w:val="24"/>
        </w:rPr>
        <w:t xml:space="preserve"> Постачальника. </w:t>
      </w:r>
      <w:r w:rsidRPr="008B15ED">
        <w:rPr>
          <w:rFonts w:ascii="Times New Roman" w:hAnsi="Times New Roman"/>
          <w:sz w:val="24"/>
          <w:szCs w:val="24"/>
        </w:rPr>
        <w:t xml:space="preserve">Оплата вважається здійсненою після того, як на </w:t>
      </w:r>
      <w:proofErr w:type="spellStart"/>
      <w:r w:rsidRPr="008B15ED">
        <w:rPr>
          <w:rFonts w:ascii="Times New Roman" w:hAnsi="Times New Roman"/>
          <w:sz w:val="24"/>
          <w:szCs w:val="24"/>
        </w:rPr>
        <w:t>спецрахунок</w:t>
      </w:r>
      <w:proofErr w:type="spellEnd"/>
      <w:r w:rsidRPr="008B15ED">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8B15ED">
        <w:rPr>
          <w:rFonts w:ascii="Times New Roman" w:hAnsi="Times New Roman"/>
          <w:sz w:val="24"/>
          <w:szCs w:val="24"/>
        </w:rPr>
        <w:t>Спецрахунок</w:t>
      </w:r>
      <w:proofErr w:type="spellEnd"/>
      <w:r w:rsidRPr="008B15ED">
        <w:rPr>
          <w:rFonts w:ascii="Times New Roman" w:hAnsi="Times New Roman"/>
          <w:sz w:val="24"/>
          <w:szCs w:val="24"/>
        </w:rPr>
        <w:t xml:space="preserve"> Постачальника зазначається у платіжних документах Постачальника, </w:t>
      </w:r>
      <w:r>
        <w:rPr>
          <w:rFonts w:ascii="Times New Roman" w:hAnsi="Times New Roman"/>
          <w:sz w:val="24"/>
          <w:szCs w:val="24"/>
        </w:rPr>
        <w:t xml:space="preserve">у тому числі у разі його зміни. </w:t>
      </w:r>
      <w:r w:rsidRPr="008B15ED">
        <w:rPr>
          <w:rFonts w:ascii="Times New Roman" w:hAnsi="Times New Roman"/>
          <w:sz w:val="24"/>
          <w:szCs w:val="24"/>
        </w:rPr>
        <w:t>Рахунок формується відповідно до даних про фактичне споживання електричної енергії зафіксованих актом про обсяги переданої споживачу електричної енергії на підставі акту приймання-передачі обсягу ре</w:t>
      </w:r>
      <w:r>
        <w:rPr>
          <w:rFonts w:ascii="Times New Roman" w:hAnsi="Times New Roman"/>
          <w:sz w:val="24"/>
          <w:szCs w:val="24"/>
        </w:rPr>
        <w:t xml:space="preserve">алізованої електричної енергії. Розрахунки </w:t>
      </w:r>
      <w:r w:rsidRPr="008B15ED">
        <w:rPr>
          <w:rFonts w:ascii="Times New Roman" w:hAnsi="Times New Roman"/>
          <w:sz w:val="24"/>
          <w:szCs w:val="24"/>
        </w:rPr>
        <w:t>Споживача за цим Договором здійснюються на поточний рахунок із спеціальним режимом вик</w:t>
      </w:r>
      <w:r>
        <w:rPr>
          <w:rFonts w:ascii="Times New Roman" w:hAnsi="Times New Roman"/>
          <w:sz w:val="24"/>
          <w:szCs w:val="24"/>
        </w:rPr>
        <w:t xml:space="preserve">ористання (далі – </w:t>
      </w:r>
      <w:proofErr w:type="spellStart"/>
      <w:r>
        <w:rPr>
          <w:rFonts w:ascii="Times New Roman" w:hAnsi="Times New Roman"/>
          <w:sz w:val="24"/>
          <w:szCs w:val="24"/>
        </w:rPr>
        <w:t>спецрахунок</w:t>
      </w:r>
      <w:proofErr w:type="spellEnd"/>
      <w:r>
        <w:rPr>
          <w:rFonts w:ascii="Times New Roman" w:hAnsi="Times New Roman"/>
          <w:sz w:val="24"/>
          <w:szCs w:val="24"/>
        </w:rPr>
        <w:t xml:space="preserve">). </w:t>
      </w:r>
      <w:r w:rsidRPr="008B15ED">
        <w:rPr>
          <w:rFonts w:ascii="Times New Roman" w:hAnsi="Times New Roman"/>
          <w:sz w:val="24"/>
          <w:szCs w:val="24"/>
        </w:rP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w:t>
      </w:r>
      <w:r>
        <w:rPr>
          <w:rFonts w:ascii="Times New Roman" w:hAnsi="Times New Roman"/>
          <w:sz w:val="24"/>
          <w:szCs w:val="24"/>
        </w:rPr>
        <w:t xml:space="preserve">ений законодавством спосіб. </w:t>
      </w:r>
      <w:r w:rsidRPr="008B15ED">
        <w:rPr>
          <w:rFonts w:ascii="Times New Roman" w:hAnsi="Times New Roman"/>
          <w:sz w:val="24"/>
          <w:szCs w:val="24"/>
        </w:rPr>
        <w:t xml:space="preserve">Оплата рахунка Постачальника за цим Договором має бути здійснена Споживачем після оплатою у строк визначений у рахунку, який не може бути меншим 10 (десяти) робочих днів з моменту отримання його Споживачем. 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Оплата вважається здійсненою після того, як на </w:t>
      </w:r>
      <w:proofErr w:type="spellStart"/>
      <w:r w:rsidRPr="008B15ED">
        <w:rPr>
          <w:rFonts w:ascii="Times New Roman" w:hAnsi="Times New Roman"/>
          <w:sz w:val="24"/>
          <w:szCs w:val="24"/>
        </w:rPr>
        <w:t>спецрахунок</w:t>
      </w:r>
      <w:proofErr w:type="spellEnd"/>
      <w:r w:rsidRPr="008B15ED">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w:t>
      </w:r>
      <w:r>
        <w:rPr>
          <w:rFonts w:ascii="Times New Roman" w:hAnsi="Times New Roman"/>
          <w:sz w:val="24"/>
          <w:szCs w:val="24"/>
        </w:rPr>
        <w:t xml:space="preserve">овідно до умов цього Договору. </w:t>
      </w:r>
      <w:r w:rsidRPr="008B15ED">
        <w:rPr>
          <w:rFonts w:ascii="Times New Roman" w:hAnsi="Times New Roman"/>
          <w:sz w:val="24"/>
          <w:szCs w:val="24"/>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sectPr w:rsidR="0005723B" w:rsidRPr="0005723B" w:rsidSect="007628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3"/>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5723B"/>
    <w:rsid w:val="0008539B"/>
    <w:rsid w:val="000A0358"/>
    <w:rsid w:val="000B192F"/>
    <w:rsid w:val="000B2470"/>
    <w:rsid w:val="000B3DCB"/>
    <w:rsid w:val="000F2E58"/>
    <w:rsid w:val="001C10C2"/>
    <w:rsid w:val="001E20BA"/>
    <w:rsid w:val="00236226"/>
    <w:rsid w:val="00267D8B"/>
    <w:rsid w:val="002926E1"/>
    <w:rsid w:val="00310537"/>
    <w:rsid w:val="003D6848"/>
    <w:rsid w:val="00415846"/>
    <w:rsid w:val="004422A3"/>
    <w:rsid w:val="004679A6"/>
    <w:rsid w:val="0048416D"/>
    <w:rsid w:val="004D1660"/>
    <w:rsid w:val="00500E2F"/>
    <w:rsid w:val="00517491"/>
    <w:rsid w:val="00535B61"/>
    <w:rsid w:val="00554165"/>
    <w:rsid w:val="005B1D27"/>
    <w:rsid w:val="005C6ACF"/>
    <w:rsid w:val="006320DC"/>
    <w:rsid w:val="006347A6"/>
    <w:rsid w:val="00636EDE"/>
    <w:rsid w:val="006B107D"/>
    <w:rsid w:val="006E62C9"/>
    <w:rsid w:val="00762846"/>
    <w:rsid w:val="007A685B"/>
    <w:rsid w:val="007D7D34"/>
    <w:rsid w:val="00836B10"/>
    <w:rsid w:val="008548F7"/>
    <w:rsid w:val="0088128D"/>
    <w:rsid w:val="008B15ED"/>
    <w:rsid w:val="008D1323"/>
    <w:rsid w:val="008D4620"/>
    <w:rsid w:val="00900F32"/>
    <w:rsid w:val="00915AD8"/>
    <w:rsid w:val="00952175"/>
    <w:rsid w:val="009C2A03"/>
    <w:rsid w:val="00A15C86"/>
    <w:rsid w:val="00A50F5F"/>
    <w:rsid w:val="00AC5D14"/>
    <w:rsid w:val="00B01479"/>
    <w:rsid w:val="00B20BF1"/>
    <w:rsid w:val="00B27507"/>
    <w:rsid w:val="00B35D20"/>
    <w:rsid w:val="00B62ED7"/>
    <w:rsid w:val="00B82ACE"/>
    <w:rsid w:val="00C55CA6"/>
    <w:rsid w:val="00C60C37"/>
    <w:rsid w:val="00C93E12"/>
    <w:rsid w:val="00CA18F5"/>
    <w:rsid w:val="00CC5C46"/>
    <w:rsid w:val="00CC7D09"/>
    <w:rsid w:val="00CE27DD"/>
    <w:rsid w:val="00D344A9"/>
    <w:rsid w:val="00D447BA"/>
    <w:rsid w:val="00D5792E"/>
    <w:rsid w:val="00D70C7E"/>
    <w:rsid w:val="00DA4B2B"/>
    <w:rsid w:val="00DB048F"/>
    <w:rsid w:val="00DD44DC"/>
    <w:rsid w:val="00DD4FC3"/>
    <w:rsid w:val="00E32FE2"/>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76802800">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1903128944">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10</cp:revision>
  <dcterms:created xsi:type="dcterms:W3CDTF">2024-09-05T05:40:00Z</dcterms:created>
  <dcterms:modified xsi:type="dcterms:W3CDTF">2025-02-06T06:59:00Z</dcterms:modified>
</cp:coreProperties>
</file>