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4A59" w14:textId="45D796DE" w:rsidR="00C41ED6" w:rsidRPr="00507759" w:rsidRDefault="00C41ED6" w:rsidP="00B170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759">
        <w:rPr>
          <w:rFonts w:ascii="Times New Roman" w:hAnsi="Times New Roman" w:cs="Times New Roman"/>
          <w:b/>
          <w:bCs/>
          <w:sz w:val="24"/>
          <w:szCs w:val="24"/>
        </w:rPr>
        <w:t>Істотні фактори ризику</w:t>
      </w:r>
    </w:p>
    <w:p w14:paraId="4429E9F8" w14:textId="77777777" w:rsidR="00C41ED6" w:rsidRPr="00507759" w:rsidRDefault="00C41ED6" w:rsidP="00B170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37771" w14:textId="56A9E29C" w:rsidR="00A84828" w:rsidRPr="00507759" w:rsidRDefault="00B61AFD" w:rsidP="00B170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59">
        <w:rPr>
          <w:rFonts w:ascii="Times New Roman" w:hAnsi="Times New Roman" w:cs="Times New Roman"/>
          <w:sz w:val="24"/>
          <w:szCs w:val="24"/>
        </w:rPr>
        <w:t>Істотні фактори ризику</w:t>
      </w:r>
      <w:r w:rsidR="001A2E6C" w:rsidRPr="00507759">
        <w:rPr>
          <w:rFonts w:ascii="Times New Roman" w:hAnsi="Times New Roman" w:cs="Times New Roman"/>
          <w:sz w:val="24"/>
          <w:szCs w:val="24"/>
        </w:rPr>
        <w:t xml:space="preserve">, що можуть вплинути на операції та результати діяльності </w:t>
      </w:r>
      <w:r w:rsidR="00FC652D" w:rsidRPr="00507759">
        <w:rPr>
          <w:rFonts w:ascii="Times New Roman" w:hAnsi="Times New Roman" w:cs="Times New Roman"/>
          <w:sz w:val="24"/>
          <w:szCs w:val="24"/>
        </w:rPr>
        <w:t>К</w:t>
      </w:r>
      <w:r w:rsidR="001A2E6C" w:rsidRPr="00507759">
        <w:rPr>
          <w:rFonts w:ascii="Times New Roman" w:hAnsi="Times New Roman" w:cs="Times New Roman"/>
          <w:sz w:val="24"/>
          <w:szCs w:val="24"/>
        </w:rPr>
        <w:t>омунального некомерційного підприємства Миколаївської міської ради «Центр</w:t>
      </w:r>
      <w:r w:rsidR="00FC652D" w:rsidRPr="00507759">
        <w:rPr>
          <w:rFonts w:ascii="Times New Roman" w:hAnsi="Times New Roman" w:cs="Times New Roman"/>
          <w:sz w:val="24"/>
          <w:szCs w:val="24"/>
        </w:rPr>
        <w:t xml:space="preserve"> первинн</w:t>
      </w:r>
      <w:r w:rsidR="00625ABD" w:rsidRPr="00507759">
        <w:rPr>
          <w:rFonts w:ascii="Times New Roman" w:hAnsi="Times New Roman" w:cs="Times New Roman"/>
          <w:sz w:val="24"/>
          <w:szCs w:val="24"/>
        </w:rPr>
        <w:t>ої медико-санітарної допомоги №5</w:t>
      </w:r>
      <w:r w:rsidR="00FC652D" w:rsidRPr="00507759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297"/>
        <w:gridCol w:w="3210"/>
      </w:tblGrid>
      <w:tr w:rsidR="00A84828" w:rsidRPr="00507759" w14:paraId="12C7E46C" w14:textId="77777777" w:rsidTr="00143C41">
        <w:tc>
          <w:tcPr>
            <w:tcW w:w="2122" w:type="dxa"/>
          </w:tcPr>
          <w:p w14:paraId="5F28C572" w14:textId="48772F38" w:rsidR="00A84828" w:rsidRPr="00507759" w:rsidRDefault="00A84828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Фактор </w:t>
            </w:r>
            <w:proofErr w:type="spellStart"/>
            <w:r w:rsidRPr="0050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</w:p>
        </w:tc>
        <w:tc>
          <w:tcPr>
            <w:tcW w:w="4297" w:type="dxa"/>
          </w:tcPr>
          <w:p w14:paraId="3A2B910A" w14:textId="7DDA00C5" w:rsidR="00A84828" w:rsidRPr="00507759" w:rsidRDefault="00143C41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>Аргументація</w:t>
            </w:r>
          </w:p>
        </w:tc>
        <w:tc>
          <w:tcPr>
            <w:tcW w:w="3210" w:type="dxa"/>
          </w:tcPr>
          <w:p w14:paraId="3467F251" w14:textId="7DD0D1D4" w:rsidR="00A84828" w:rsidRPr="00507759" w:rsidRDefault="00143C41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Заходи </w:t>
            </w:r>
            <w:proofErr w:type="spellStart"/>
            <w:r w:rsidRPr="0050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50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7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</w:p>
        </w:tc>
      </w:tr>
      <w:tr w:rsidR="00A84828" w:rsidRPr="00507759" w14:paraId="52348131" w14:textId="77777777" w:rsidTr="00143C41">
        <w:tc>
          <w:tcPr>
            <w:tcW w:w="2122" w:type="dxa"/>
          </w:tcPr>
          <w:p w14:paraId="1992B24B" w14:textId="705F5144" w:rsidR="00A84828" w:rsidRPr="00507759" w:rsidRDefault="00143C41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>Зменшення надходження коштів</w:t>
            </w:r>
          </w:p>
        </w:tc>
        <w:tc>
          <w:tcPr>
            <w:tcW w:w="4297" w:type="dxa"/>
          </w:tcPr>
          <w:p w14:paraId="7470B4BB" w14:textId="77777777" w:rsidR="00143C41" w:rsidRPr="00507759" w:rsidRDefault="00143C41" w:rsidP="00B17093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>Основними джерелами доходу є:</w:t>
            </w:r>
          </w:p>
          <w:p w14:paraId="22D27155" w14:textId="7795469E" w:rsidR="00143C41" w:rsidRPr="00507759" w:rsidRDefault="00507759" w:rsidP="00B17093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C41" w:rsidRPr="00507759">
              <w:rPr>
                <w:rFonts w:ascii="Times New Roman" w:hAnsi="Times New Roman" w:cs="Times New Roman"/>
                <w:sz w:val="24"/>
                <w:szCs w:val="24"/>
              </w:rPr>
              <w:t>ошти</w:t>
            </w: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3C41" w:rsidRPr="00507759">
              <w:rPr>
                <w:rFonts w:ascii="Times New Roman" w:hAnsi="Times New Roman" w:cs="Times New Roman"/>
                <w:sz w:val="24"/>
                <w:szCs w:val="24"/>
              </w:rPr>
              <w:t xml:space="preserve"> отримані від Національної служби здоров’я України, які надходять у вигляді плати за укладені декларації з пацієнтами (для здійснення основного виду діяльності).</w:t>
            </w:r>
          </w:p>
          <w:p w14:paraId="2BCE9D6C" w14:textId="21E4877A" w:rsidR="00A84828" w:rsidRPr="00B17093" w:rsidRDefault="00143C41" w:rsidP="00B17093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3">
              <w:rPr>
                <w:rFonts w:ascii="Times New Roman" w:hAnsi="Times New Roman" w:cs="Times New Roman"/>
                <w:sz w:val="24"/>
                <w:szCs w:val="24"/>
              </w:rPr>
              <w:t>фінансова підтримка з міського бюджету (асигнування виділяються на покриття видатків за</w:t>
            </w:r>
            <w:r w:rsidR="00805999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 житлово-комунальні послуги</w:t>
            </w:r>
            <w:r w:rsidRPr="00B17093">
              <w:rPr>
                <w:rFonts w:ascii="Times New Roman" w:hAnsi="Times New Roman" w:cs="Times New Roman"/>
                <w:sz w:val="24"/>
                <w:szCs w:val="24"/>
              </w:rPr>
              <w:t>, а також вивіз тверд</w:t>
            </w:r>
            <w:r w:rsidR="00805999" w:rsidRPr="00B17093">
              <w:rPr>
                <w:rFonts w:ascii="Times New Roman" w:hAnsi="Times New Roman" w:cs="Times New Roman"/>
                <w:sz w:val="24"/>
                <w:szCs w:val="24"/>
              </w:rPr>
              <w:t>их побутових відходів;</w:t>
            </w:r>
            <w:r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 видатки на </w:t>
            </w:r>
            <w:r w:rsidRPr="00B17093">
              <w:rPr>
                <w:rFonts w:ascii="Times New Roman" w:hAnsi="Times New Roman"/>
                <w:sz w:val="24"/>
                <w:szCs w:val="24"/>
              </w:rPr>
              <w:t>вид</w:t>
            </w:r>
            <w:r w:rsidR="00805999" w:rsidRPr="00B17093">
              <w:rPr>
                <w:rFonts w:ascii="Times New Roman" w:hAnsi="Times New Roman"/>
                <w:sz w:val="24"/>
                <w:szCs w:val="24"/>
              </w:rPr>
              <w:t>ачу медичних виробів та інших засобів згідно з Поряд</w:t>
            </w:r>
            <w:r w:rsidRPr="00B17093">
              <w:rPr>
                <w:rFonts w:ascii="Times New Roman" w:hAnsi="Times New Roman"/>
                <w:sz w:val="24"/>
                <w:szCs w:val="24"/>
              </w:rPr>
              <w:t>к</w:t>
            </w:r>
            <w:r w:rsidR="00805999" w:rsidRPr="00B17093">
              <w:rPr>
                <w:rFonts w:ascii="Times New Roman" w:hAnsi="Times New Roman"/>
                <w:sz w:val="24"/>
                <w:szCs w:val="24"/>
              </w:rPr>
              <w:t>ом</w:t>
            </w:r>
            <w:r w:rsidRPr="00B17093">
              <w:rPr>
                <w:rFonts w:ascii="Times New Roman" w:hAnsi="Times New Roman"/>
                <w:sz w:val="24"/>
                <w:szCs w:val="24"/>
              </w:rPr>
              <w:t xml:space="preserve"> забезпечення осіб з інвалідністю, дітей з інвалідністю, інших окремих категорій населення медичн</w:t>
            </w:r>
            <w:r w:rsidR="00805999" w:rsidRPr="00B17093">
              <w:rPr>
                <w:rFonts w:ascii="Times New Roman" w:hAnsi="Times New Roman"/>
                <w:sz w:val="24"/>
                <w:szCs w:val="24"/>
              </w:rPr>
              <w:t>ими виробами та іншими засобами, затвердженим постановою Кабінету</w:t>
            </w:r>
            <w:r w:rsidRPr="00B17093">
              <w:rPr>
                <w:rFonts w:ascii="Times New Roman" w:hAnsi="Times New Roman"/>
                <w:sz w:val="24"/>
                <w:szCs w:val="24"/>
              </w:rPr>
              <w:t xml:space="preserve"> Міністрів </w:t>
            </w:r>
            <w:r w:rsidR="00805999" w:rsidRPr="00B17093">
              <w:rPr>
                <w:rFonts w:ascii="Times New Roman" w:hAnsi="Times New Roman"/>
                <w:sz w:val="24"/>
                <w:szCs w:val="24"/>
              </w:rPr>
              <w:t>України №1301 від 03.12.2009 р.</w:t>
            </w:r>
            <w:r w:rsidRPr="00B17093">
              <w:rPr>
                <w:rFonts w:ascii="Times New Roman" w:hAnsi="Times New Roman"/>
                <w:sz w:val="24"/>
                <w:szCs w:val="24"/>
              </w:rPr>
              <w:t>,</w:t>
            </w:r>
            <w:r w:rsidR="00805999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999" w:rsidRPr="00B17093">
              <w:rPr>
                <w:rFonts w:ascii="Times New Roman" w:hAnsi="Times New Roman"/>
                <w:sz w:val="24"/>
                <w:szCs w:val="24"/>
              </w:rPr>
              <w:t>видатки, пов’язані</w:t>
            </w:r>
            <w:r w:rsidRPr="00B17093">
              <w:rPr>
                <w:rFonts w:ascii="Times New Roman" w:hAnsi="Times New Roman"/>
                <w:sz w:val="24"/>
                <w:szCs w:val="24"/>
              </w:rPr>
              <w:t xml:space="preserve"> із відшкодуванням </w:t>
            </w:r>
            <w:r w:rsidRPr="00B17093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  <w:r w:rsidR="00805999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 отриманих або відпущених на пільгових умовах</w:t>
            </w:r>
            <w:r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 лікарських засобів за рецептами лікарів у разі амбулаторного лікування окремим групам населення</w:t>
            </w:r>
            <w:r w:rsidR="00805999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 та за категоріями захворювань згідно </w:t>
            </w:r>
            <w:r w:rsidRPr="00B17093">
              <w:rPr>
                <w:rFonts w:ascii="Times New Roman" w:hAnsi="Times New Roman" w:cs="Times New Roman"/>
                <w:sz w:val="24"/>
                <w:szCs w:val="24"/>
              </w:rPr>
              <w:t>постанови Кабінету Міністрів України №</w:t>
            </w:r>
            <w:r w:rsidR="00805999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093">
              <w:rPr>
                <w:rFonts w:ascii="Times New Roman" w:hAnsi="Times New Roman" w:cs="Times New Roman"/>
                <w:sz w:val="24"/>
                <w:szCs w:val="24"/>
              </w:rPr>
              <w:t>1303 від 17.08.1998 р.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      </w:r>
            <w:r w:rsidR="00805999" w:rsidRPr="00B17093">
              <w:rPr>
                <w:rFonts w:ascii="Times New Roman" w:hAnsi="Times New Roman" w:cs="Times New Roman"/>
                <w:sz w:val="24"/>
                <w:szCs w:val="24"/>
              </w:rPr>
              <w:t>евними категоріями захворювань»</w:t>
            </w:r>
            <w:r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, а також на </w:t>
            </w:r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>видатки на забезпечення адаптованими сумішами-</w:t>
            </w:r>
            <w:r w:rsidR="003A037D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замінниками грудного </w:t>
            </w:r>
            <w:proofErr w:type="spellStart"/>
            <w:r w:rsidR="003A037D" w:rsidRPr="00B17093">
              <w:rPr>
                <w:rFonts w:ascii="Times New Roman" w:hAnsi="Times New Roman" w:cs="Times New Roman"/>
                <w:sz w:val="24"/>
                <w:szCs w:val="24"/>
              </w:rPr>
              <w:t>моло</w:t>
            </w:r>
            <w:proofErr w:type="spellEnd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37D" w:rsidRPr="00B17093">
              <w:rPr>
                <w:rFonts w:ascii="Times New Roman" w:hAnsi="Times New Roman" w:cs="Times New Roman"/>
                <w:sz w:val="24"/>
                <w:szCs w:val="24"/>
              </w:rPr>
              <w:t>ка дітей першого року народження, народжених від ВІЛ-інфікованих матерів</w:t>
            </w:r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>, громадян, які страждають на рідкісні (</w:t>
            </w:r>
            <w:proofErr w:type="spellStart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>орфанні</w:t>
            </w:r>
            <w:proofErr w:type="spellEnd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) захворювання, лікарськими засобами та відповідними харчовими продуктами для </w:t>
            </w:r>
            <w:proofErr w:type="spellStart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>спеціаль</w:t>
            </w:r>
            <w:proofErr w:type="spellEnd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-ного дієтичного споживання  згідно з постановою КМУ від 31.03.2015 № 160 </w:t>
            </w:r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“Про затвердження Порядку </w:t>
            </w:r>
            <w:proofErr w:type="spellStart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>забезпе-чення</w:t>
            </w:r>
            <w:proofErr w:type="spellEnd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 xml:space="preserve"> громадян, які страждають на рідкісні (</w:t>
            </w:r>
            <w:proofErr w:type="spellStart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>орфанні</w:t>
            </w:r>
            <w:proofErr w:type="spellEnd"/>
            <w:r w:rsidR="00B17093" w:rsidRPr="00B17093">
              <w:rPr>
                <w:rFonts w:ascii="Times New Roman" w:hAnsi="Times New Roman" w:cs="Times New Roman"/>
                <w:sz w:val="24"/>
                <w:szCs w:val="24"/>
              </w:rPr>
              <w:t>) захворювання, лікарськими засобами та відповідними харчовими продуктами для спеціального дієтичного споживання»</w:t>
            </w:r>
          </w:p>
        </w:tc>
        <w:tc>
          <w:tcPr>
            <w:tcW w:w="3210" w:type="dxa"/>
          </w:tcPr>
          <w:p w14:paraId="0C2447B6" w14:textId="7AE7B605" w:rsidR="00507759" w:rsidRPr="00507759" w:rsidRDefault="00507759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Раціональне використання коштів, отриманих від НСЗУ та міського бюджету.</w:t>
            </w:r>
          </w:p>
          <w:p w14:paraId="2100D884" w14:textId="66873E30" w:rsidR="00143C41" w:rsidRPr="00507759" w:rsidRDefault="00143C41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 xml:space="preserve">Акумуляція коштів та засобів з альтернативних джерел доходів, а саме: </w:t>
            </w:r>
          </w:p>
          <w:p w14:paraId="0038BC1C" w14:textId="77777777" w:rsidR="00A84828" w:rsidRPr="00507759" w:rsidRDefault="00143C41" w:rsidP="00B17093">
            <w:pPr>
              <w:pStyle w:val="a3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left="-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>платні послуги;</w:t>
            </w:r>
          </w:p>
          <w:p w14:paraId="6D69AF78" w14:textId="77777777" w:rsidR="00143C41" w:rsidRPr="00507759" w:rsidRDefault="00143C41" w:rsidP="00B17093">
            <w:pPr>
              <w:pStyle w:val="a3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left="-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>благодійна допомога;</w:t>
            </w:r>
          </w:p>
          <w:p w14:paraId="0A7D8E5A" w14:textId="77777777" w:rsidR="00143C41" w:rsidRDefault="00143C41" w:rsidP="00B17093">
            <w:pPr>
              <w:pStyle w:val="a3"/>
              <w:numPr>
                <w:ilvl w:val="0"/>
                <w:numId w:val="3"/>
              </w:numPr>
              <w:tabs>
                <w:tab w:val="left" w:pos="272"/>
              </w:tabs>
              <w:spacing w:line="276" w:lineRule="auto"/>
              <w:ind w:left="-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59">
              <w:rPr>
                <w:rFonts w:ascii="Times New Roman" w:hAnsi="Times New Roman" w:cs="Times New Roman"/>
                <w:sz w:val="24"/>
                <w:szCs w:val="24"/>
              </w:rPr>
              <w:t>відсотки від депозиту.</w:t>
            </w:r>
          </w:p>
          <w:p w14:paraId="0060C1B2" w14:textId="506C6249" w:rsidR="006B43AC" w:rsidRPr="006B43AC" w:rsidRDefault="006B43AC" w:rsidP="006B43AC">
            <w:pPr>
              <w:tabs>
                <w:tab w:val="left" w:pos="272"/>
              </w:tabs>
              <w:spacing w:line="276" w:lineRule="auto"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AC">
              <w:rPr>
                <w:rFonts w:ascii="Times New Roman" w:hAnsi="Times New Roman" w:cs="Times New Roman"/>
                <w:sz w:val="24"/>
                <w:szCs w:val="24"/>
              </w:rPr>
              <w:t>Вчасне подання пропозицій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бюджетної програми та бюджетних запитів</w:t>
            </w:r>
          </w:p>
          <w:p w14:paraId="3079F839" w14:textId="283E58F7" w:rsidR="00143C41" w:rsidRPr="00507759" w:rsidRDefault="00143C41" w:rsidP="00B17093">
            <w:pPr>
              <w:pStyle w:val="a3"/>
              <w:spacing w:line="276" w:lineRule="auto"/>
              <w:ind w:left="-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28" w:rsidRPr="00507759" w14:paraId="6DBE7A05" w14:textId="77777777" w:rsidTr="00143C41">
        <w:tc>
          <w:tcPr>
            <w:tcW w:w="2122" w:type="dxa"/>
          </w:tcPr>
          <w:p w14:paraId="434D1083" w14:textId="55937CC2" w:rsidR="00A84828" w:rsidRPr="00507759" w:rsidRDefault="003C2303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Відтік кадрового по</w:t>
            </w:r>
            <w:r w:rsidR="008128E3">
              <w:rPr>
                <w:rFonts w:ascii="Times New Roman" w:hAnsi="Times New Roman" w:cs="Times New Roman"/>
                <w:sz w:val="24"/>
                <w:szCs w:val="24"/>
              </w:rPr>
              <w:t>тенціалу</w:t>
            </w:r>
          </w:p>
        </w:tc>
        <w:tc>
          <w:tcPr>
            <w:tcW w:w="4297" w:type="dxa"/>
          </w:tcPr>
          <w:p w14:paraId="7E7F5803" w14:textId="5273165E" w:rsidR="00A84828" w:rsidRPr="00FF5D6E" w:rsidRDefault="00EF6CA2" w:rsidP="00EF6CA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Наразі в медичній галузі, в тому числі у м. Миколаєві, спостерігається відчутне зменшення кількості лікарів й молодших медичних фахівців із медичною освітою, викликаної у тому числі суттєвим зниженням доступності медичної освіти; невідповідності розміру матеріальної винагороди за виконану роботу очікуванням; неконтрольованими процесами міграції вітчизняних медичних кадрів до інших країн. </w:t>
            </w:r>
            <w:r w:rsidR="0004013A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 негативно позначається на загальному фінансовому стані та престижності </w:t>
            </w:r>
            <w:r w:rsidR="007735F2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медичних закладів</w:t>
            </w:r>
            <w:r w:rsidR="0004013A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оскільки </w:t>
            </w:r>
            <w:r w:rsidR="007735F2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 здійснюється НСЗУ </w:t>
            </w:r>
            <w:proofErr w:type="spellStart"/>
            <w:r w:rsidR="007735F2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пропорційно</w:t>
            </w:r>
            <w:proofErr w:type="spellEnd"/>
            <w:r w:rsidR="007735F2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кількості укладених декларацій </w:t>
            </w:r>
            <w:r w:rsidR="00814AC8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 урахуванням верифікації), а зменшення кількості лікарів викликає втрату декларацій, та відповідно, позбавляє пацієнтів можливості отримати необхідні медичні послуги, а заклад – мо</w:t>
            </w:r>
            <w:r w:rsidR="0021475A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жливості отримання оплати згідно програми медичних гарантій </w:t>
            </w:r>
            <w:r w:rsidR="00B76624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більшому обсязі</w:t>
            </w:r>
            <w:r w:rsidR="00814AC8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735F2"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7E8126D0" w14:textId="185B95E8" w:rsidR="00A84828" w:rsidRDefault="008128E3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Залучення кадрового потенціалу шляхом розміщення оголошень на порталі вакансій</w:t>
            </w:r>
            <w:r w:rsidR="0092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6076E7" w14:textId="08C7B5B4" w:rsidR="008128E3" w:rsidRPr="008128E3" w:rsidRDefault="008128E3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Регулярна виплата заробітної плати та інших виплат, підтримання належного рівня оплати праці, дотримання трудових гарантій, встановлених державою та колективним договором.</w:t>
            </w:r>
          </w:p>
        </w:tc>
      </w:tr>
      <w:tr w:rsidR="00C35826" w:rsidRPr="00507759" w14:paraId="34CD24BE" w14:textId="77777777" w:rsidTr="00143C41">
        <w:tc>
          <w:tcPr>
            <w:tcW w:w="2122" w:type="dxa"/>
          </w:tcPr>
          <w:p w14:paraId="13CD4BCB" w14:textId="69037571" w:rsidR="00C35826" w:rsidRDefault="00C35826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Загроза, пов’язана</w:t>
            </w:r>
            <w:r w:rsidR="006B43A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воєнними діями російської федерації</w:t>
            </w:r>
          </w:p>
        </w:tc>
        <w:tc>
          <w:tcPr>
            <w:tcW w:w="4297" w:type="dxa"/>
          </w:tcPr>
          <w:p w14:paraId="45E167BD" w14:textId="14CDA401" w:rsidR="00C35826" w:rsidRPr="00FF5D6E" w:rsidRDefault="00FF5D6E" w:rsidP="000D3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24 лютого 2022 року у зв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’язку з</w:t>
            </w:r>
            <w:r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ійськов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ою агресією російської ф</w:t>
            </w:r>
            <w:r w:rsidRPr="00FF5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едерації проти України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Президентом України введено воєнний стан, який триває і досі</w:t>
            </w:r>
            <w:r w:rsidR="000D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Російською федерацією щоденно здійснюються терористичні акти відносно мирного населення, що спричиняє руйнування цивільної інфраструктури, зокрема, лікувальних установ. На даний час </w:t>
            </w:r>
            <w:r w:rsidR="0015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потенційна </w:t>
            </w:r>
            <w:r w:rsidR="000D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загроза нормальному функціонуванню  медичних закладів від можливих </w:t>
            </w:r>
            <w:r w:rsidR="00153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воєнн</w:t>
            </w:r>
            <w:r w:rsidR="00D70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их </w:t>
            </w:r>
            <w:r w:rsidR="000D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дій </w:t>
            </w:r>
            <w:r w:rsidR="00D70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є постійною</w:t>
            </w:r>
          </w:p>
        </w:tc>
        <w:tc>
          <w:tcPr>
            <w:tcW w:w="3210" w:type="dxa"/>
          </w:tcPr>
          <w:p w14:paraId="75E0F3D3" w14:textId="77777777" w:rsidR="00C35826" w:rsidRDefault="0093131C" w:rsidP="00B170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322DEF">
              <w:rPr>
                <w:rFonts w:ascii="Times New Roman" w:hAnsi="Times New Roman" w:cs="Times New Roman"/>
                <w:sz w:val="24"/>
                <w:szCs w:val="24"/>
              </w:rPr>
              <w:t>та підтримання фінансового резерву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можливості швидкого відновлення придатності будівель та апаратури до застосування в процесі надання медичних послуг</w:t>
            </w:r>
            <w:r w:rsidR="00322DEF">
              <w:rPr>
                <w:rFonts w:ascii="Times New Roman" w:hAnsi="Times New Roman" w:cs="Times New Roman"/>
                <w:sz w:val="24"/>
                <w:szCs w:val="24"/>
              </w:rPr>
              <w:t xml:space="preserve"> у випадку її пошкодження внаслідок збройної агресії російської федерації</w:t>
            </w:r>
          </w:p>
          <w:p w14:paraId="735591F4" w14:textId="56FB1AC5" w:rsidR="00621CA7" w:rsidRDefault="00621CA7" w:rsidP="00621C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Наявність та підтримання у робочому стані електричних генераторів</w:t>
            </w:r>
          </w:p>
        </w:tc>
      </w:tr>
    </w:tbl>
    <w:p w14:paraId="187A1713" w14:textId="77777777" w:rsidR="00A84828" w:rsidRDefault="00A84828" w:rsidP="00B170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A7E1A0" w14:textId="77777777" w:rsidR="008677F5" w:rsidRPr="001D7C21" w:rsidRDefault="008677F5" w:rsidP="00B170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CC1CDC" w14:textId="263EEA29" w:rsidR="007753B3" w:rsidRDefault="007753B3" w:rsidP="001D7C2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7753B3" w:rsidSect="0040636C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13C4"/>
    <w:multiLevelType w:val="hybridMultilevel"/>
    <w:tmpl w:val="85F6A0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46C0"/>
    <w:multiLevelType w:val="hybridMultilevel"/>
    <w:tmpl w:val="9C7A70A0"/>
    <w:lvl w:ilvl="0" w:tplc="68F61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0041A"/>
    <w:multiLevelType w:val="hybridMultilevel"/>
    <w:tmpl w:val="A8CE71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5336"/>
    <w:multiLevelType w:val="hybridMultilevel"/>
    <w:tmpl w:val="85F6A0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A"/>
    <w:rsid w:val="00034D71"/>
    <w:rsid w:val="0004013A"/>
    <w:rsid w:val="000403BF"/>
    <w:rsid w:val="00077011"/>
    <w:rsid w:val="000D37EC"/>
    <w:rsid w:val="000D72BB"/>
    <w:rsid w:val="00143C41"/>
    <w:rsid w:val="00153B11"/>
    <w:rsid w:val="0016601E"/>
    <w:rsid w:val="00174C89"/>
    <w:rsid w:val="00180E19"/>
    <w:rsid w:val="001A2E6C"/>
    <w:rsid w:val="001D7C21"/>
    <w:rsid w:val="0020418F"/>
    <w:rsid w:val="0021475A"/>
    <w:rsid w:val="00226F47"/>
    <w:rsid w:val="00287761"/>
    <w:rsid w:val="002E08C4"/>
    <w:rsid w:val="00322DEF"/>
    <w:rsid w:val="00327457"/>
    <w:rsid w:val="003A037D"/>
    <w:rsid w:val="003C2303"/>
    <w:rsid w:val="003D116B"/>
    <w:rsid w:val="003E2E97"/>
    <w:rsid w:val="0040636C"/>
    <w:rsid w:val="004324B4"/>
    <w:rsid w:val="00452CE1"/>
    <w:rsid w:val="00507320"/>
    <w:rsid w:val="00507759"/>
    <w:rsid w:val="00543F3C"/>
    <w:rsid w:val="00546718"/>
    <w:rsid w:val="005761D3"/>
    <w:rsid w:val="00601EAF"/>
    <w:rsid w:val="0062170E"/>
    <w:rsid w:val="00621CA7"/>
    <w:rsid w:val="00625ABD"/>
    <w:rsid w:val="006369B3"/>
    <w:rsid w:val="00687CDA"/>
    <w:rsid w:val="006B43AC"/>
    <w:rsid w:val="007647EC"/>
    <w:rsid w:val="0077296D"/>
    <w:rsid w:val="007735F2"/>
    <w:rsid w:val="007753B3"/>
    <w:rsid w:val="007C43DE"/>
    <w:rsid w:val="007D51F9"/>
    <w:rsid w:val="00805999"/>
    <w:rsid w:val="008128E3"/>
    <w:rsid w:val="00814AC8"/>
    <w:rsid w:val="008677F5"/>
    <w:rsid w:val="00892439"/>
    <w:rsid w:val="008969B5"/>
    <w:rsid w:val="008C5DD4"/>
    <w:rsid w:val="00922F92"/>
    <w:rsid w:val="0093131C"/>
    <w:rsid w:val="009321CD"/>
    <w:rsid w:val="009720E9"/>
    <w:rsid w:val="00A84828"/>
    <w:rsid w:val="00B17093"/>
    <w:rsid w:val="00B50495"/>
    <w:rsid w:val="00B61AFD"/>
    <w:rsid w:val="00B76624"/>
    <w:rsid w:val="00B861D5"/>
    <w:rsid w:val="00C13EA7"/>
    <w:rsid w:val="00C35826"/>
    <w:rsid w:val="00C41ED6"/>
    <w:rsid w:val="00C95400"/>
    <w:rsid w:val="00D240D4"/>
    <w:rsid w:val="00D3371F"/>
    <w:rsid w:val="00D70E62"/>
    <w:rsid w:val="00EF6827"/>
    <w:rsid w:val="00EF6CA2"/>
    <w:rsid w:val="00F000B7"/>
    <w:rsid w:val="00F223D9"/>
    <w:rsid w:val="00F42C61"/>
    <w:rsid w:val="00FA5902"/>
    <w:rsid w:val="00FC652D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F37"/>
  <w15:chartTrackingRefBased/>
  <w15:docId w15:val="{86DE467B-C505-43C5-A27D-63E8FE9B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19"/>
    <w:pPr>
      <w:ind w:left="720"/>
      <w:contextualSpacing/>
    </w:pPr>
  </w:style>
  <w:style w:type="table" w:styleId="a4">
    <w:name w:val="Table Grid"/>
    <w:basedOn w:val="a1"/>
    <w:uiPriority w:val="39"/>
    <w:rsid w:val="00A8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Admin</cp:lastModifiedBy>
  <cp:revision>33</cp:revision>
  <dcterms:created xsi:type="dcterms:W3CDTF">2021-02-03T16:03:00Z</dcterms:created>
  <dcterms:modified xsi:type="dcterms:W3CDTF">2025-07-30T09:50:00Z</dcterms:modified>
</cp:coreProperties>
</file>