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79F6" w14:textId="58D029AF" w:rsidR="001A0412" w:rsidRPr="00D816A3" w:rsidRDefault="001A0412" w:rsidP="00996D24">
      <w:pPr>
        <w:jc w:val="both"/>
        <w:rPr>
          <w:sz w:val="20"/>
          <w:szCs w:val="20"/>
          <w:lang w:val="ru-RU"/>
        </w:rPr>
      </w:pPr>
      <w:r w:rsidRPr="00996D24">
        <w:rPr>
          <w:sz w:val="20"/>
          <w:szCs w:val="20"/>
        </w:rPr>
        <w:t>s-</w:t>
      </w:r>
      <w:proofErr w:type="spellStart"/>
      <w:r w:rsidRPr="00996D24">
        <w:rPr>
          <w:sz w:val="20"/>
          <w:szCs w:val="20"/>
        </w:rPr>
        <w:t>dj</w:t>
      </w:r>
      <w:proofErr w:type="spellEnd"/>
      <w:r w:rsidRPr="00996D24">
        <w:rPr>
          <w:sz w:val="20"/>
          <w:szCs w:val="20"/>
        </w:rPr>
        <w:t>-</w:t>
      </w:r>
      <w:r w:rsidR="00D816A3">
        <w:rPr>
          <w:sz w:val="20"/>
          <w:szCs w:val="20"/>
          <w:lang w:val="ru-RU"/>
        </w:rPr>
        <w:t>14</w:t>
      </w:r>
      <w:r w:rsidR="00F021DC">
        <w:rPr>
          <w:sz w:val="20"/>
          <w:szCs w:val="20"/>
          <w:lang w:val="ru-RU"/>
        </w:rPr>
        <w:t>5</w:t>
      </w:r>
    </w:p>
    <w:p w14:paraId="0CB49595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06DB25FC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204CF882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43E66366" w14:textId="77777777" w:rsidR="001A0412" w:rsidRPr="00996D24" w:rsidRDefault="001A0412" w:rsidP="00996D24">
      <w:pPr>
        <w:jc w:val="both"/>
        <w:rPr>
          <w:rFonts w:eastAsiaTheme="minorHAnsi"/>
          <w:sz w:val="28"/>
          <w:szCs w:val="28"/>
        </w:rPr>
      </w:pPr>
    </w:p>
    <w:p w14:paraId="78802787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7796053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36713AC7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5B9E058" w14:textId="77777777" w:rsidR="00753681" w:rsidRDefault="00753681" w:rsidP="00996D24">
      <w:pPr>
        <w:ind w:right="5810"/>
        <w:jc w:val="both"/>
        <w:rPr>
          <w:sz w:val="28"/>
          <w:szCs w:val="28"/>
        </w:rPr>
      </w:pPr>
    </w:p>
    <w:p w14:paraId="0C812245" w14:textId="77777777" w:rsidR="00753681" w:rsidRPr="004A64E7" w:rsidRDefault="00753681" w:rsidP="00996D24">
      <w:pPr>
        <w:ind w:right="5810"/>
        <w:jc w:val="both"/>
        <w:rPr>
          <w:sz w:val="20"/>
          <w:szCs w:val="20"/>
        </w:rPr>
      </w:pPr>
    </w:p>
    <w:p w14:paraId="68CDB2CF" w14:textId="26E078A5" w:rsidR="001A0412" w:rsidRPr="00996D24" w:rsidRDefault="001A0412" w:rsidP="00996D24">
      <w:pPr>
        <w:ind w:right="5810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Про надання згоди на списання основних засобів</w:t>
      </w:r>
    </w:p>
    <w:p w14:paraId="3651AAF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76193BB8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4114E832" w14:textId="5741DF4C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</w:t>
      </w:r>
      <w:r w:rsidR="002910FF">
        <w:rPr>
          <w:sz w:val="28"/>
          <w:szCs w:val="28"/>
        </w:rPr>
        <w:t xml:space="preserve"> «Про внесення змін до рішення міської ради від 31.05.2012 №</w:t>
      </w:r>
      <w:r w:rsidR="00753681">
        <w:rPr>
          <w:sz w:val="28"/>
          <w:szCs w:val="28"/>
        </w:rPr>
        <w:t> </w:t>
      </w:r>
      <w:r w:rsidR="002910FF">
        <w:rPr>
          <w:sz w:val="28"/>
          <w:szCs w:val="28"/>
        </w:rPr>
        <w:t>17/16 «</w:t>
      </w:r>
      <w:r w:rsidR="00F03CA4">
        <w:rPr>
          <w:sz w:val="28"/>
          <w:szCs w:val="28"/>
        </w:rPr>
        <w:t>П</w:t>
      </w:r>
      <w:r w:rsidR="002910FF">
        <w:rPr>
          <w:sz w:val="28"/>
          <w:szCs w:val="28"/>
        </w:rPr>
        <w:t>ро затвердження Порядку списання майна, що належить до комунальної власності територіальної громади м.</w:t>
      </w:r>
      <w:r w:rsidR="00494BCD">
        <w:rPr>
          <w:sz w:val="28"/>
          <w:szCs w:val="28"/>
        </w:rPr>
        <w:t> </w:t>
      </w:r>
      <w:r w:rsidR="002910FF">
        <w:rPr>
          <w:sz w:val="28"/>
          <w:szCs w:val="28"/>
        </w:rPr>
        <w:t>Миколаєва»</w:t>
      </w:r>
      <w:r w:rsidRPr="00996D24">
        <w:rPr>
          <w:sz w:val="28"/>
          <w:szCs w:val="28"/>
        </w:rPr>
        <w:t>, керуючись частиною п’ятою статті 60 Закону України «Про місцеве самоврядування в Україні», міська рада</w:t>
      </w:r>
    </w:p>
    <w:p w14:paraId="5A1CA4CC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17EB0FC3" w14:textId="77777777" w:rsidR="001A0412" w:rsidRPr="00996D24" w:rsidRDefault="001A0412" w:rsidP="00996D24">
      <w:pPr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ВИРІШИЛА:</w:t>
      </w:r>
    </w:p>
    <w:p w14:paraId="2FC863AA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35A43099" w14:textId="3E1ECA72" w:rsidR="001A0412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 xml:space="preserve">1. Надати згоду </w:t>
      </w:r>
      <w:proofErr w:type="spellStart"/>
      <w:r w:rsidR="00F021DC">
        <w:rPr>
          <w:sz w:val="28"/>
          <w:szCs w:val="28"/>
        </w:rPr>
        <w:t>обласно</w:t>
      </w:r>
      <w:r w:rsidR="00D816A3">
        <w:rPr>
          <w:sz w:val="28"/>
          <w:szCs w:val="28"/>
          <w:lang w:val="ru-RU"/>
        </w:rPr>
        <w:t>му</w:t>
      </w:r>
      <w:proofErr w:type="spellEnd"/>
      <w:r w:rsidR="00D816A3">
        <w:rPr>
          <w:sz w:val="28"/>
          <w:szCs w:val="28"/>
          <w:lang w:val="ru-RU"/>
        </w:rPr>
        <w:t xml:space="preserve"> </w:t>
      </w:r>
      <w:r w:rsidRPr="00996D24">
        <w:rPr>
          <w:sz w:val="28"/>
          <w:szCs w:val="28"/>
        </w:rPr>
        <w:t>комунальному підприємству «Миколаїв</w:t>
      </w:r>
      <w:r w:rsidR="00F021DC">
        <w:rPr>
          <w:sz w:val="28"/>
          <w:szCs w:val="28"/>
        </w:rPr>
        <w:t>облтеплоенерго</w:t>
      </w:r>
      <w:r w:rsidRPr="00996D24">
        <w:rPr>
          <w:sz w:val="28"/>
          <w:szCs w:val="28"/>
        </w:rPr>
        <w:t xml:space="preserve">» (код ЄДРПОУ </w:t>
      </w:r>
      <w:r w:rsidR="00D816A3">
        <w:rPr>
          <w:sz w:val="28"/>
          <w:szCs w:val="28"/>
        </w:rPr>
        <w:t>31</w:t>
      </w:r>
      <w:r w:rsidR="00F021DC">
        <w:rPr>
          <w:sz w:val="28"/>
          <w:szCs w:val="28"/>
        </w:rPr>
        <w:t>319242</w:t>
      </w:r>
      <w:r w:rsidRPr="00996D24">
        <w:rPr>
          <w:sz w:val="28"/>
          <w:szCs w:val="28"/>
        </w:rPr>
        <w:t>) на списання основн</w:t>
      </w:r>
      <w:r w:rsidR="00C5667A">
        <w:rPr>
          <w:sz w:val="28"/>
          <w:szCs w:val="28"/>
        </w:rPr>
        <w:t>их</w:t>
      </w:r>
      <w:r w:rsidRPr="00996D24">
        <w:rPr>
          <w:sz w:val="28"/>
          <w:szCs w:val="28"/>
        </w:rPr>
        <w:t xml:space="preserve"> засоб</w:t>
      </w:r>
      <w:r w:rsidR="00C5667A">
        <w:rPr>
          <w:sz w:val="28"/>
          <w:szCs w:val="28"/>
        </w:rPr>
        <w:t>ів</w:t>
      </w:r>
      <w:r w:rsidR="009C7A5A">
        <w:rPr>
          <w:sz w:val="28"/>
          <w:szCs w:val="28"/>
        </w:rPr>
        <w:t>,</w:t>
      </w:r>
      <w:r w:rsidR="00AB09BA">
        <w:rPr>
          <w:sz w:val="28"/>
          <w:szCs w:val="28"/>
        </w:rPr>
        <w:t xml:space="preserve"> </w:t>
      </w:r>
      <w:r w:rsidRPr="00996D24">
        <w:rPr>
          <w:sz w:val="28"/>
          <w:szCs w:val="28"/>
        </w:rPr>
        <w:t xml:space="preserve">які </w:t>
      </w:r>
      <w:r w:rsidR="00AB09BA">
        <w:rPr>
          <w:sz w:val="28"/>
          <w:szCs w:val="28"/>
        </w:rPr>
        <w:t>п</w:t>
      </w:r>
      <w:r w:rsidRPr="00996D24">
        <w:rPr>
          <w:sz w:val="28"/>
          <w:szCs w:val="28"/>
        </w:rPr>
        <w:t>еребувають в господарському віданні підприємства</w:t>
      </w:r>
      <w:r w:rsidR="003B1C61">
        <w:rPr>
          <w:sz w:val="28"/>
          <w:szCs w:val="28"/>
        </w:rPr>
        <w:t xml:space="preserve">, </w:t>
      </w:r>
      <w:r w:rsidRPr="00AB09BA">
        <w:rPr>
          <w:sz w:val="28"/>
          <w:szCs w:val="28"/>
        </w:rPr>
        <w:t>згідно з додатком.</w:t>
      </w:r>
    </w:p>
    <w:p w14:paraId="6A9B8BF1" w14:textId="1D29EE4F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2. </w:t>
      </w:r>
      <w:r w:rsidR="00E429A8">
        <w:rPr>
          <w:sz w:val="28"/>
          <w:szCs w:val="28"/>
        </w:rPr>
        <w:t>Обласному</w:t>
      </w:r>
      <w:r w:rsidRPr="00996D24">
        <w:rPr>
          <w:sz w:val="28"/>
          <w:szCs w:val="28"/>
        </w:rPr>
        <w:t xml:space="preserve"> комунальному підприємству «</w:t>
      </w:r>
      <w:r w:rsidR="00C5667A" w:rsidRPr="00996D24">
        <w:rPr>
          <w:sz w:val="28"/>
          <w:szCs w:val="28"/>
        </w:rPr>
        <w:t>Миколаїв</w:t>
      </w:r>
      <w:r w:rsidR="00C5667A">
        <w:rPr>
          <w:sz w:val="28"/>
          <w:szCs w:val="28"/>
        </w:rPr>
        <w:t>облтеплоенерго</w:t>
      </w:r>
      <w:r w:rsidRPr="00996D24">
        <w:rPr>
          <w:sz w:val="28"/>
          <w:szCs w:val="28"/>
        </w:rPr>
        <w:t>» (код ЄДРПОУ 31</w:t>
      </w:r>
      <w:r w:rsidR="00E429A8">
        <w:rPr>
          <w:sz w:val="28"/>
          <w:szCs w:val="28"/>
        </w:rPr>
        <w:t>319242</w:t>
      </w:r>
      <w:r w:rsidRPr="00996D24">
        <w:rPr>
          <w:sz w:val="28"/>
          <w:szCs w:val="28"/>
        </w:rPr>
        <w:t>) (</w:t>
      </w:r>
      <w:proofErr w:type="spellStart"/>
      <w:r w:rsidR="00E429A8">
        <w:rPr>
          <w:sz w:val="28"/>
          <w:szCs w:val="28"/>
        </w:rPr>
        <w:t>Логвінову</w:t>
      </w:r>
      <w:proofErr w:type="spellEnd"/>
      <w:r w:rsidRPr="00996D24">
        <w:rPr>
          <w:sz w:val="28"/>
          <w:szCs w:val="28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</w:t>
      </w:r>
      <w:r w:rsidR="002910FF">
        <w:rPr>
          <w:sz w:val="28"/>
          <w:szCs w:val="28"/>
        </w:rPr>
        <w:t xml:space="preserve"> «Про внесення змін до рішення міської ради від 31.05.2012 №</w:t>
      </w:r>
      <w:r w:rsidR="00494BCD">
        <w:rPr>
          <w:sz w:val="28"/>
          <w:szCs w:val="28"/>
        </w:rPr>
        <w:t> </w:t>
      </w:r>
      <w:r w:rsidR="002910FF">
        <w:rPr>
          <w:sz w:val="28"/>
          <w:szCs w:val="28"/>
        </w:rPr>
        <w:t>17/16 «</w:t>
      </w:r>
      <w:r w:rsidR="00494BCD">
        <w:rPr>
          <w:sz w:val="28"/>
          <w:szCs w:val="28"/>
        </w:rPr>
        <w:t>П</w:t>
      </w:r>
      <w:r w:rsidR="002910FF">
        <w:rPr>
          <w:sz w:val="28"/>
          <w:szCs w:val="28"/>
        </w:rPr>
        <w:t>ро затвердження Порядку списання майна, що належить до комунальної власності територіальної громади м.</w:t>
      </w:r>
      <w:r w:rsidR="00494BCD">
        <w:rPr>
          <w:sz w:val="28"/>
          <w:szCs w:val="28"/>
        </w:rPr>
        <w:t> </w:t>
      </w:r>
      <w:r w:rsidR="002910FF">
        <w:rPr>
          <w:sz w:val="28"/>
          <w:szCs w:val="28"/>
        </w:rPr>
        <w:t>Миколаєва»</w:t>
      </w:r>
      <w:r w:rsidRPr="00996D24">
        <w:rPr>
          <w:sz w:val="28"/>
          <w:szCs w:val="28"/>
        </w:rPr>
        <w:t>.</w:t>
      </w:r>
    </w:p>
    <w:p w14:paraId="011A9750" w14:textId="77777777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996D24">
        <w:rPr>
          <w:sz w:val="28"/>
          <w:szCs w:val="28"/>
        </w:rPr>
        <w:t>діджиталізації</w:t>
      </w:r>
      <w:proofErr w:type="spellEnd"/>
      <w:r w:rsidRPr="00996D24">
        <w:rPr>
          <w:sz w:val="28"/>
          <w:szCs w:val="28"/>
        </w:rPr>
        <w:t xml:space="preserve"> (Іванова), заступника міського голови Андрієнка Ю.Г.</w:t>
      </w:r>
    </w:p>
    <w:p w14:paraId="742B840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C7EACB2" w14:textId="51E38CC1" w:rsidR="001A0412" w:rsidRDefault="001A0412" w:rsidP="00996D24">
      <w:pPr>
        <w:jc w:val="both"/>
        <w:rPr>
          <w:sz w:val="28"/>
          <w:szCs w:val="28"/>
        </w:rPr>
      </w:pPr>
    </w:p>
    <w:p w14:paraId="219BAD1E" w14:textId="77777777" w:rsidR="00753681" w:rsidRPr="00996D24" w:rsidRDefault="00753681" w:rsidP="00996D24">
      <w:pPr>
        <w:jc w:val="both"/>
        <w:rPr>
          <w:sz w:val="28"/>
          <w:szCs w:val="28"/>
        </w:rPr>
      </w:pPr>
    </w:p>
    <w:p w14:paraId="1E374791" w14:textId="77777777" w:rsidR="00753681" w:rsidRDefault="001A0412" w:rsidP="00996D24">
      <w:pPr>
        <w:jc w:val="both"/>
        <w:rPr>
          <w:sz w:val="28"/>
          <w:szCs w:val="28"/>
        </w:rPr>
        <w:sectPr w:rsidR="00753681" w:rsidSect="0075368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96D24">
        <w:rPr>
          <w:sz w:val="28"/>
          <w:szCs w:val="28"/>
        </w:rPr>
        <w:t xml:space="preserve">Міський голова                                                                              </w:t>
      </w:r>
      <w:r w:rsidR="00996D24">
        <w:rPr>
          <w:sz w:val="28"/>
          <w:szCs w:val="28"/>
        </w:rPr>
        <w:t xml:space="preserve">      </w:t>
      </w:r>
      <w:r w:rsidRPr="00996D24">
        <w:rPr>
          <w:sz w:val="28"/>
          <w:szCs w:val="28"/>
        </w:rPr>
        <w:t>О. СЄНКЕВИЧ</w:t>
      </w:r>
    </w:p>
    <w:p w14:paraId="079A58D4" w14:textId="77777777" w:rsidR="001A0412" w:rsidRPr="001A0412" w:rsidRDefault="001A0412" w:rsidP="00996D24">
      <w:pPr>
        <w:widowControl/>
        <w:shd w:val="clear" w:color="auto" w:fill="FFFFFF"/>
        <w:tabs>
          <w:tab w:val="left" w:pos="4185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lastRenderedPageBreak/>
        <w:t>Додаток</w:t>
      </w:r>
    </w:p>
    <w:p w14:paraId="474E7D61" w14:textId="7777777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до рішення міської ради</w:t>
      </w:r>
    </w:p>
    <w:p w14:paraId="292CCD34" w14:textId="77777777" w:rsidR="001A0412" w:rsidRPr="001A0412" w:rsidRDefault="001A0412" w:rsidP="00996D24">
      <w:pPr>
        <w:widowControl/>
        <w:shd w:val="clear" w:color="auto" w:fill="FFFFFF"/>
        <w:tabs>
          <w:tab w:val="left" w:pos="6210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від_______________________</w:t>
      </w:r>
    </w:p>
    <w:p w14:paraId="36C90B00" w14:textId="7777777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№ _______________________</w:t>
      </w:r>
    </w:p>
    <w:p w14:paraId="59B7C0F0" w14:textId="0C6AC9CB" w:rsidR="001A0412" w:rsidRDefault="001A0412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14:paraId="77CC1708" w14:textId="77777777" w:rsidR="00753681" w:rsidRPr="001A0412" w:rsidRDefault="00753681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tbl>
      <w:tblPr>
        <w:tblW w:w="15735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64"/>
        <w:gridCol w:w="1275"/>
        <w:gridCol w:w="1276"/>
        <w:gridCol w:w="992"/>
        <w:gridCol w:w="1124"/>
        <w:gridCol w:w="1564"/>
        <w:gridCol w:w="854"/>
        <w:gridCol w:w="1561"/>
        <w:gridCol w:w="1701"/>
        <w:gridCol w:w="1560"/>
      </w:tblGrid>
      <w:tr w:rsidR="001A0412" w:rsidRPr="00753681" w14:paraId="10B99471" w14:textId="77777777" w:rsidTr="00AF4AD6">
        <w:trPr>
          <w:trHeight w:val="367"/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8B07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№ з/п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EF9590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Найменування об’єкта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497F44" w14:textId="77777777" w:rsidR="001A0412" w:rsidRPr="00753681" w:rsidRDefault="001A0412" w:rsidP="001A0412">
            <w:pPr>
              <w:spacing w:line="276" w:lineRule="auto"/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Рік випуску та дата введення</w:t>
            </w:r>
          </w:p>
          <w:p w14:paraId="43A43842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до експлуатації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0CAD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Номер об’єкта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66145F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28844F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Вартість здійснених капітальних інвестицій, грн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68B806" w14:textId="77777777" w:rsidR="001A0412" w:rsidRPr="00753681" w:rsidRDefault="001A0412" w:rsidP="001A0412">
            <w:pPr>
              <w:spacing w:line="276" w:lineRule="auto"/>
              <w:ind w:left="-57" w:right="-57" w:hanging="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Первісна (переоцінена)</w:t>
            </w:r>
          </w:p>
          <w:p w14:paraId="3E68722E" w14:textId="77777777" w:rsidR="001A0412" w:rsidRPr="00753681" w:rsidRDefault="001A0412" w:rsidP="001A0412">
            <w:pPr>
              <w:spacing w:after="160" w:line="276" w:lineRule="auto"/>
              <w:ind w:left="-57" w:right="-57" w:hanging="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вартість, грн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F12ACC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Сума нарахованого зносу, грн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03B705" w14:textId="77777777" w:rsidR="001A0412" w:rsidRPr="00753681" w:rsidRDefault="001A0412" w:rsidP="001A0412">
            <w:pPr>
              <w:spacing w:line="276" w:lineRule="auto"/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Балансова (залишкова)</w:t>
            </w:r>
          </w:p>
          <w:p w14:paraId="4B90E54D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вартість, грн</w:t>
            </w:r>
          </w:p>
        </w:tc>
      </w:tr>
      <w:tr w:rsidR="001A0412" w:rsidRPr="001A0412" w14:paraId="234A9E3A" w14:textId="77777777" w:rsidTr="00AF4AD6">
        <w:trPr>
          <w:cantSplit/>
          <w:trHeight w:val="3725"/>
          <w:tblCellSpacing w:w="0" w:type="dxa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61E2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E2BB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12A5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9247AA" w14:textId="77777777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інвентарний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D42B30" w14:textId="77777777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заводський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898F87" w14:textId="77777777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паспортний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5A3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FEA8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2E9A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8CEF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7AA4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</w:tr>
      <w:tr w:rsidR="001A0412" w:rsidRPr="001A0412" w14:paraId="5BD67D94" w14:textId="77777777" w:rsidTr="00AF4AD6">
        <w:trPr>
          <w:tblCellSpacing w:w="0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D6D7" w14:textId="7CEBCFD9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1</w:t>
            </w:r>
            <w:r w:rsidR="00E14FE9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FD0E" w14:textId="3F05C322" w:rsidR="001A0412" w:rsidRPr="009552FA" w:rsidRDefault="00024E68" w:rsidP="007F42CD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Будівля (приміщення для солі 26,9 </w:t>
            </w:r>
            <w:proofErr w:type="spellStart"/>
            <w:r>
              <w:rPr>
                <w:sz w:val="27"/>
                <w:szCs w:val="27"/>
                <w:lang w:eastAsia="ru-RU"/>
              </w:rPr>
              <w:t>кв.м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) -  </w:t>
            </w:r>
            <w:r w:rsidR="001B529E">
              <w:rPr>
                <w:sz w:val="27"/>
                <w:szCs w:val="27"/>
                <w:lang w:eastAsia="ru-RU"/>
              </w:rPr>
              <w:t>н</w:t>
            </w:r>
            <w:r>
              <w:rPr>
                <w:sz w:val="27"/>
                <w:szCs w:val="27"/>
                <w:lang w:eastAsia="ru-RU"/>
              </w:rPr>
              <w:t xml:space="preserve">авіс за літ. Б та № 14 </w:t>
            </w:r>
            <w:r w:rsidR="001B529E">
              <w:rPr>
                <w:sz w:val="27"/>
                <w:szCs w:val="27"/>
                <w:lang w:eastAsia="ru-RU"/>
              </w:rPr>
              <w:t>в</w:t>
            </w:r>
            <w:r>
              <w:rPr>
                <w:sz w:val="27"/>
                <w:szCs w:val="27"/>
                <w:lang w:eastAsia="ru-RU"/>
              </w:rPr>
              <w:t xml:space="preserve">игрібна яма загальною площею </w:t>
            </w:r>
            <w:r w:rsidR="007F42CD">
              <w:rPr>
                <w:sz w:val="27"/>
                <w:szCs w:val="27"/>
                <w:lang w:eastAsia="ru-RU"/>
              </w:rPr>
              <w:t>26,</w:t>
            </w:r>
            <w:bookmarkStart w:id="0" w:name="_GoBack"/>
            <w:bookmarkEnd w:id="0"/>
            <w:r w:rsidR="00AF4AD6">
              <w:rPr>
                <w:sz w:val="27"/>
                <w:szCs w:val="27"/>
                <w:lang w:eastAsia="ru-RU"/>
              </w:rPr>
              <w:t xml:space="preserve">9 </w:t>
            </w:r>
            <w:proofErr w:type="spellStart"/>
            <w:r w:rsidR="00AF4AD6">
              <w:rPr>
                <w:sz w:val="27"/>
                <w:szCs w:val="27"/>
                <w:lang w:eastAsia="ru-RU"/>
              </w:rPr>
              <w:t>кв</w:t>
            </w:r>
            <w:r>
              <w:rPr>
                <w:sz w:val="27"/>
                <w:szCs w:val="27"/>
                <w:lang w:eastAsia="ru-RU"/>
              </w:rPr>
              <w:t>.м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</w:t>
            </w:r>
            <w:r w:rsidR="001B529E">
              <w:rPr>
                <w:sz w:val="27"/>
                <w:szCs w:val="27"/>
                <w:lang w:eastAsia="ru-RU"/>
              </w:rPr>
              <w:t xml:space="preserve">за </w:t>
            </w:r>
            <w:proofErr w:type="spellStart"/>
            <w:r w:rsidR="001B529E">
              <w:rPr>
                <w:sz w:val="27"/>
                <w:szCs w:val="27"/>
                <w:lang w:eastAsia="ru-RU"/>
              </w:rPr>
              <w:t>адресою</w:t>
            </w:r>
            <w:proofErr w:type="spellEnd"/>
            <w:r w:rsidR="001B529E">
              <w:rPr>
                <w:sz w:val="27"/>
                <w:szCs w:val="27"/>
                <w:lang w:eastAsia="ru-RU"/>
              </w:rPr>
              <w:t>: вул. </w:t>
            </w:r>
            <w:r>
              <w:rPr>
                <w:sz w:val="27"/>
                <w:szCs w:val="27"/>
                <w:lang w:eastAsia="ru-RU"/>
              </w:rPr>
              <w:t>Курортна,</w:t>
            </w:r>
            <w:r w:rsidR="001B529E">
              <w:rPr>
                <w:sz w:val="27"/>
                <w:szCs w:val="27"/>
                <w:lang w:eastAsia="ru-RU"/>
              </w:rPr>
              <w:t> </w:t>
            </w:r>
            <w:r>
              <w:rPr>
                <w:sz w:val="27"/>
                <w:szCs w:val="27"/>
                <w:lang w:eastAsia="ru-RU"/>
              </w:rPr>
              <w:t>11 - 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C3B9" w14:textId="3923B750" w:rsidR="001A0412" w:rsidRPr="00600589" w:rsidRDefault="00CE6F65" w:rsidP="00780095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1972</w:t>
            </w:r>
            <w:r w:rsidR="006777A8">
              <w:rPr>
                <w:sz w:val="27"/>
                <w:szCs w:val="27"/>
                <w:lang w:eastAsia="ru-RU"/>
              </w:rPr>
              <w:t xml:space="preserve">, </w:t>
            </w:r>
            <w:r w:rsidR="00AF4AD6">
              <w:rPr>
                <w:sz w:val="27"/>
                <w:szCs w:val="27"/>
                <w:lang w:val="en-US" w:eastAsia="ru-RU"/>
              </w:rPr>
              <w:t>10</w:t>
            </w:r>
            <w:r w:rsidR="006777A8">
              <w:rPr>
                <w:sz w:val="27"/>
                <w:szCs w:val="27"/>
                <w:lang w:eastAsia="ru-RU"/>
              </w:rPr>
              <w:t>.</w:t>
            </w:r>
            <w:r w:rsidR="00CA7293">
              <w:rPr>
                <w:sz w:val="27"/>
                <w:szCs w:val="27"/>
                <w:lang w:eastAsia="ru-RU"/>
              </w:rPr>
              <w:t>20</w:t>
            </w:r>
            <w:r w:rsidR="00780095">
              <w:rPr>
                <w:sz w:val="27"/>
                <w:szCs w:val="27"/>
                <w:lang w:eastAsia="ru-RU"/>
              </w:rPr>
              <w:t>0</w:t>
            </w:r>
            <w:r w:rsidR="00AF4AD6">
              <w:rPr>
                <w:sz w:val="27"/>
                <w:szCs w:val="27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7F84" w14:textId="5AFDF360" w:rsidR="001A0412" w:rsidRPr="00AF4AD6" w:rsidRDefault="00AF4AD6" w:rsidP="00AB09BA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ЖКП12-00235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EAB2" w14:textId="44F2B5A0" w:rsidR="001A0412" w:rsidRPr="00E14FE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7194" w14:textId="77777777" w:rsidR="001A0412" w:rsidRPr="00E14FE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F61C" w14:textId="77777777" w:rsidR="001A0412" w:rsidRPr="00E14FE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649E" w14:textId="77777777" w:rsidR="001A0412" w:rsidRPr="0060058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D012" w14:textId="1F7EAA70" w:rsidR="001A0412" w:rsidRPr="00E14FE9" w:rsidRDefault="00AF4AD6" w:rsidP="00E14FE9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73 958,00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3819" w14:textId="719323F6" w:rsidR="001A0412" w:rsidRPr="00600589" w:rsidRDefault="00AF4AD6" w:rsidP="00E14FE9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19 911,64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1710" w14:textId="0E774BF9" w:rsidR="001A0412" w:rsidRPr="00E14FE9" w:rsidRDefault="00AF4AD6" w:rsidP="00E14FE9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54</w:t>
            </w:r>
            <w:r w:rsidR="00155B65"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t>046,36</w:t>
            </w:r>
          </w:p>
        </w:tc>
      </w:tr>
    </w:tbl>
    <w:p w14:paraId="61C6BC30" w14:textId="10980072" w:rsidR="001A0412" w:rsidRDefault="001A0412" w:rsidP="00E14FE9"/>
    <w:sectPr w:rsidR="001A0412" w:rsidSect="0075368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5C3F" w14:textId="77777777" w:rsidR="00B61341" w:rsidRDefault="00B61341" w:rsidP="00996D24">
      <w:r>
        <w:separator/>
      </w:r>
    </w:p>
  </w:endnote>
  <w:endnote w:type="continuationSeparator" w:id="0">
    <w:p w14:paraId="1AAF2635" w14:textId="77777777" w:rsidR="00B61341" w:rsidRDefault="00B61341" w:rsidP="009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D55BD" w14:textId="77777777" w:rsidR="00B61341" w:rsidRDefault="00B61341" w:rsidP="00996D24">
      <w:r>
        <w:separator/>
      </w:r>
    </w:p>
  </w:footnote>
  <w:footnote w:type="continuationSeparator" w:id="0">
    <w:p w14:paraId="0B1A6534" w14:textId="77777777" w:rsidR="00B61341" w:rsidRDefault="00B61341" w:rsidP="0099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887796612"/>
      <w:docPartObj>
        <w:docPartGallery w:val="Page Numbers (Top of Page)"/>
        <w:docPartUnique/>
      </w:docPartObj>
    </w:sdtPr>
    <w:sdtEndPr/>
    <w:sdtContent>
      <w:p w14:paraId="6E7773DC" w14:textId="03A17EB1" w:rsidR="00996D24" w:rsidRPr="00996D24" w:rsidRDefault="00996D24">
        <w:pPr>
          <w:pStyle w:val="a4"/>
          <w:jc w:val="center"/>
          <w:rPr>
            <w:sz w:val="28"/>
            <w:szCs w:val="28"/>
          </w:rPr>
        </w:pPr>
        <w:r w:rsidRPr="00996D24">
          <w:rPr>
            <w:sz w:val="28"/>
            <w:szCs w:val="28"/>
          </w:rPr>
          <w:fldChar w:fldCharType="begin"/>
        </w:r>
        <w:r w:rsidRPr="00996D24">
          <w:rPr>
            <w:sz w:val="28"/>
            <w:szCs w:val="28"/>
          </w:rPr>
          <w:instrText>PAGE   \* MERGEFORMAT</w:instrText>
        </w:r>
        <w:r w:rsidRPr="00996D24">
          <w:rPr>
            <w:sz w:val="28"/>
            <w:szCs w:val="28"/>
          </w:rPr>
          <w:fldChar w:fldCharType="separate"/>
        </w:r>
        <w:r w:rsidR="007F42CD" w:rsidRPr="007F42CD">
          <w:rPr>
            <w:noProof/>
            <w:sz w:val="28"/>
            <w:szCs w:val="28"/>
            <w:lang w:val="ru-RU"/>
          </w:rPr>
          <w:t>2</w:t>
        </w:r>
        <w:r w:rsidRPr="00996D2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1B"/>
    <w:rsid w:val="0000107A"/>
    <w:rsid w:val="00024E68"/>
    <w:rsid w:val="0005141B"/>
    <w:rsid w:val="00055D7F"/>
    <w:rsid w:val="000F5718"/>
    <w:rsid w:val="00140923"/>
    <w:rsid w:val="00155B65"/>
    <w:rsid w:val="00186B09"/>
    <w:rsid w:val="001A0412"/>
    <w:rsid w:val="001A4F8F"/>
    <w:rsid w:val="001B529E"/>
    <w:rsid w:val="001B5C17"/>
    <w:rsid w:val="001D038E"/>
    <w:rsid w:val="001D7E77"/>
    <w:rsid w:val="00261B0A"/>
    <w:rsid w:val="002910FF"/>
    <w:rsid w:val="00291C2D"/>
    <w:rsid w:val="002961A2"/>
    <w:rsid w:val="00296422"/>
    <w:rsid w:val="002D6235"/>
    <w:rsid w:val="003B1C61"/>
    <w:rsid w:val="003E4756"/>
    <w:rsid w:val="00415DE7"/>
    <w:rsid w:val="00445A60"/>
    <w:rsid w:val="0049087F"/>
    <w:rsid w:val="00494BCD"/>
    <w:rsid w:val="004A64E7"/>
    <w:rsid w:val="004F3187"/>
    <w:rsid w:val="00582033"/>
    <w:rsid w:val="005C6229"/>
    <w:rsid w:val="005D7914"/>
    <w:rsid w:val="005F02B6"/>
    <w:rsid w:val="00600589"/>
    <w:rsid w:val="00635C70"/>
    <w:rsid w:val="00651604"/>
    <w:rsid w:val="006777A8"/>
    <w:rsid w:val="0069617F"/>
    <w:rsid w:val="006C1C6E"/>
    <w:rsid w:val="006C333B"/>
    <w:rsid w:val="00734484"/>
    <w:rsid w:val="00753681"/>
    <w:rsid w:val="00780095"/>
    <w:rsid w:val="007F42CD"/>
    <w:rsid w:val="00823C76"/>
    <w:rsid w:val="00896248"/>
    <w:rsid w:val="008C2D57"/>
    <w:rsid w:val="008F520B"/>
    <w:rsid w:val="009313C8"/>
    <w:rsid w:val="009552FA"/>
    <w:rsid w:val="00957A56"/>
    <w:rsid w:val="009604DD"/>
    <w:rsid w:val="009763D8"/>
    <w:rsid w:val="00996D24"/>
    <w:rsid w:val="009A28B9"/>
    <w:rsid w:val="009C7A5A"/>
    <w:rsid w:val="009E0998"/>
    <w:rsid w:val="009F7526"/>
    <w:rsid w:val="00A06C51"/>
    <w:rsid w:val="00A911B0"/>
    <w:rsid w:val="00AB09BA"/>
    <w:rsid w:val="00AD0F12"/>
    <w:rsid w:val="00AF4AD6"/>
    <w:rsid w:val="00B61341"/>
    <w:rsid w:val="00B80038"/>
    <w:rsid w:val="00BC4E82"/>
    <w:rsid w:val="00C07714"/>
    <w:rsid w:val="00C5667A"/>
    <w:rsid w:val="00C936D1"/>
    <w:rsid w:val="00CA7293"/>
    <w:rsid w:val="00CE0737"/>
    <w:rsid w:val="00CE6F65"/>
    <w:rsid w:val="00CF002C"/>
    <w:rsid w:val="00D206C0"/>
    <w:rsid w:val="00D816A3"/>
    <w:rsid w:val="00D94CA1"/>
    <w:rsid w:val="00E14FE9"/>
    <w:rsid w:val="00E429A8"/>
    <w:rsid w:val="00E65249"/>
    <w:rsid w:val="00E73BA8"/>
    <w:rsid w:val="00EC2900"/>
    <w:rsid w:val="00ED1864"/>
    <w:rsid w:val="00ED4E39"/>
    <w:rsid w:val="00EE2526"/>
    <w:rsid w:val="00F021DC"/>
    <w:rsid w:val="00F03CA4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7536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36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368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36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36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024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7536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36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368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36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36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02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F267-9714-4B51-ABBA-7027E156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3</cp:revision>
  <cp:lastPrinted>2025-06-10T08:09:00Z</cp:lastPrinted>
  <dcterms:created xsi:type="dcterms:W3CDTF">2025-06-16T13:04:00Z</dcterms:created>
  <dcterms:modified xsi:type="dcterms:W3CDTF">2025-06-16T13:06:00Z</dcterms:modified>
</cp:coreProperties>
</file>