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79F6" w14:textId="4491A01F" w:rsidR="001A0412" w:rsidRPr="00D816A3" w:rsidRDefault="001A0412" w:rsidP="00996D24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996D24">
        <w:rPr>
          <w:sz w:val="20"/>
          <w:szCs w:val="20"/>
        </w:rPr>
        <w:t>s-</w:t>
      </w:r>
      <w:proofErr w:type="spellStart"/>
      <w:r w:rsidRPr="00996D24">
        <w:rPr>
          <w:sz w:val="20"/>
          <w:szCs w:val="20"/>
        </w:rPr>
        <w:t>dj</w:t>
      </w:r>
      <w:proofErr w:type="spellEnd"/>
      <w:r w:rsidRPr="00996D24">
        <w:rPr>
          <w:sz w:val="20"/>
          <w:szCs w:val="20"/>
        </w:rPr>
        <w:t>-</w:t>
      </w:r>
      <w:r w:rsidR="00D816A3">
        <w:rPr>
          <w:sz w:val="20"/>
          <w:szCs w:val="20"/>
          <w:lang w:val="ru-RU"/>
        </w:rPr>
        <w:t>144</w:t>
      </w:r>
    </w:p>
    <w:p w14:paraId="0CB49595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06DB25FC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204CF882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43E66366" w14:textId="77777777" w:rsidR="001A0412" w:rsidRPr="00996D24" w:rsidRDefault="001A0412" w:rsidP="00996D24">
      <w:pPr>
        <w:jc w:val="both"/>
        <w:rPr>
          <w:rFonts w:eastAsiaTheme="minorHAnsi"/>
          <w:sz w:val="28"/>
          <w:szCs w:val="28"/>
        </w:rPr>
      </w:pPr>
    </w:p>
    <w:p w14:paraId="78802787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7796053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36713AC7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30E8A9FA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5B9E058" w14:textId="77777777" w:rsidR="00753681" w:rsidRDefault="00753681" w:rsidP="00996D24">
      <w:pPr>
        <w:ind w:right="5810"/>
        <w:jc w:val="both"/>
        <w:rPr>
          <w:sz w:val="28"/>
          <w:szCs w:val="28"/>
        </w:rPr>
      </w:pPr>
    </w:p>
    <w:p w14:paraId="0C812245" w14:textId="77777777" w:rsidR="00753681" w:rsidRDefault="00753681" w:rsidP="00996D24">
      <w:pPr>
        <w:ind w:right="5810"/>
        <w:jc w:val="both"/>
        <w:rPr>
          <w:sz w:val="28"/>
          <w:szCs w:val="28"/>
        </w:rPr>
      </w:pPr>
    </w:p>
    <w:p w14:paraId="68CDB2CF" w14:textId="26E078A5" w:rsidR="001A0412" w:rsidRPr="00996D24" w:rsidRDefault="001A0412" w:rsidP="00996D24">
      <w:pPr>
        <w:ind w:right="5810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Про надання згоди на списання основних засобів</w:t>
      </w:r>
    </w:p>
    <w:p w14:paraId="3651AAF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76193BB8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4114E832" w14:textId="5741DF4C" w:rsidR="001A0412" w:rsidRPr="00996D24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</w:t>
      </w:r>
      <w:r w:rsidR="002910FF">
        <w:rPr>
          <w:sz w:val="28"/>
          <w:szCs w:val="28"/>
        </w:rPr>
        <w:t xml:space="preserve"> «Про внесення змін до рішення міської ради від 31.05.2012 №</w:t>
      </w:r>
      <w:r w:rsidR="00753681">
        <w:rPr>
          <w:sz w:val="28"/>
          <w:szCs w:val="28"/>
        </w:rPr>
        <w:t> </w:t>
      </w:r>
      <w:r w:rsidR="002910FF">
        <w:rPr>
          <w:sz w:val="28"/>
          <w:szCs w:val="28"/>
        </w:rPr>
        <w:t>17/16 «</w:t>
      </w:r>
      <w:r w:rsidR="00F03CA4">
        <w:rPr>
          <w:sz w:val="28"/>
          <w:szCs w:val="28"/>
        </w:rPr>
        <w:t>П</w:t>
      </w:r>
      <w:r w:rsidR="002910FF">
        <w:rPr>
          <w:sz w:val="28"/>
          <w:szCs w:val="28"/>
        </w:rPr>
        <w:t>ро затвердження Порядку списання майна, що належить до комунальної власності територіальної громади м.</w:t>
      </w:r>
      <w:r w:rsidR="00494BCD">
        <w:rPr>
          <w:sz w:val="28"/>
          <w:szCs w:val="28"/>
        </w:rPr>
        <w:t> </w:t>
      </w:r>
      <w:r w:rsidR="002910FF">
        <w:rPr>
          <w:sz w:val="28"/>
          <w:szCs w:val="28"/>
        </w:rPr>
        <w:t>Миколаєва»</w:t>
      </w:r>
      <w:r w:rsidRPr="00996D24">
        <w:rPr>
          <w:sz w:val="28"/>
          <w:szCs w:val="28"/>
        </w:rPr>
        <w:t>, керуючись частиною п’ятою статті 60 Закону України «Про місцеве самоврядування в Україні», міська рада</w:t>
      </w:r>
    </w:p>
    <w:p w14:paraId="5A1CA4CC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17EB0FC3" w14:textId="77777777" w:rsidR="001A0412" w:rsidRPr="00996D24" w:rsidRDefault="001A0412" w:rsidP="00996D24">
      <w:pPr>
        <w:jc w:val="both"/>
        <w:rPr>
          <w:sz w:val="28"/>
          <w:szCs w:val="28"/>
        </w:rPr>
      </w:pPr>
      <w:r w:rsidRPr="00996D24">
        <w:rPr>
          <w:sz w:val="28"/>
          <w:szCs w:val="28"/>
        </w:rPr>
        <w:t>ВИРІШИЛА:</w:t>
      </w:r>
    </w:p>
    <w:p w14:paraId="2FC863AA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35A43099" w14:textId="65DEA34E" w:rsidR="001A0412" w:rsidRPr="00996D24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 xml:space="preserve">1. Надати згоду </w:t>
      </w:r>
      <w:proofErr w:type="spellStart"/>
      <w:r w:rsidR="00D816A3">
        <w:rPr>
          <w:sz w:val="28"/>
          <w:szCs w:val="28"/>
          <w:lang w:val="ru-RU"/>
        </w:rPr>
        <w:t>міському</w:t>
      </w:r>
      <w:proofErr w:type="spellEnd"/>
      <w:r w:rsidR="00D816A3">
        <w:rPr>
          <w:sz w:val="28"/>
          <w:szCs w:val="28"/>
          <w:lang w:val="ru-RU"/>
        </w:rPr>
        <w:t xml:space="preserve"> </w:t>
      </w:r>
      <w:r w:rsidRPr="00996D24">
        <w:rPr>
          <w:sz w:val="28"/>
          <w:szCs w:val="28"/>
        </w:rPr>
        <w:t>комунальному підприємству «Миколаїв</w:t>
      </w:r>
      <w:r w:rsidR="00D816A3">
        <w:rPr>
          <w:sz w:val="28"/>
          <w:szCs w:val="28"/>
        </w:rPr>
        <w:t>вод</w:t>
      </w:r>
      <w:r w:rsidR="00296422">
        <w:rPr>
          <w:sz w:val="28"/>
          <w:szCs w:val="28"/>
        </w:rPr>
        <w:t>о</w:t>
      </w:r>
      <w:r w:rsidR="00D816A3">
        <w:rPr>
          <w:sz w:val="28"/>
          <w:szCs w:val="28"/>
        </w:rPr>
        <w:t>канал</w:t>
      </w:r>
      <w:r w:rsidRPr="00996D24">
        <w:rPr>
          <w:sz w:val="28"/>
          <w:szCs w:val="28"/>
        </w:rPr>
        <w:t xml:space="preserve">» (код ЄДРПОУ </w:t>
      </w:r>
      <w:r w:rsidR="00D816A3">
        <w:rPr>
          <w:sz w:val="28"/>
          <w:szCs w:val="28"/>
        </w:rPr>
        <w:t>31448144</w:t>
      </w:r>
      <w:r w:rsidRPr="00996D24">
        <w:rPr>
          <w:sz w:val="28"/>
          <w:szCs w:val="28"/>
        </w:rPr>
        <w:t>) на списання основн</w:t>
      </w:r>
      <w:r w:rsidR="00D816A3">
        <w:rPr>
          <w:sz w:val="28"/>
          <w:szCs w:val="28"/>
        </w:rPr>
        <w:t>ого</w:t>
      </w:r>
      <w:r w:rsidRPr="00996D24">
        <w:rPr>
          <w:sz w:val="28"/>
          <w:szCs w:val="28"/>
        </w:rPr>
        <w:t xml:space="preserve"> засоб</w:t>
      </w:r>
      <w:r w:rsidR="00D816A3">
        <w:rPr>
          <w:sz w:val="28"/>
          <w:szCs w:val="28"/>
        </w:rPr>
        <w:t>у</w:t>
      </w:r>
      <w:r w:rsidR="009C7A5A">
        <w:rPr>
          <w:sz w:val="28"/>
          <w:szCs w:val="28"/>
        </w:rPr>
        <w:t>,</w:t>
      </w:r>
      <w:r w:rsidR="00AB09BA">
        <w:rPr>
          <w:sz w:val="28"/>
          <w:szCs w:val="28"/>
        </w:rPr>
        <w:t xml:space="preserve"> </w:t>
      </w:r>
      <w:r w:rsidRPr="00996D24">
        <w:rPr>
          <w:sz w:val="28"/>
          <w:szCs w:val="28"/>
        </w:rPr>
        <w:t xml:space="preserve">які </w:t>
      </w:r>
      <w:r w:rsidR="00AB09BA">
        <w:rPr>
          <w:sz w:val="28"/>
          <w:szCs w:val="28"/>
        </w:rPr>
        <w:t>п</w:t>
      </w:r>
      <w:r w:rsidRPr="00996D24">
        <w:rPr>
          <w:sz w:val="28"/>
          <w:szCs w:val="28"/>
        </w:rPr>
        <w:t>еребувають в господарському віданні підприємства</w:t>
      </w:r>
      <w:r w:rsidR="003B1C61">
        <w:rPr>
          <w:sz w:val="28"/>
          <w:szCs w:val="28"/>
        </w:rPr>
        <w:t xml:space="preserve">, </w:t>
      </w:r>
      <w:r w:rsidRPr="00AB09BA">
        <w:rPr>
          <w:sz w:val="28"/>
          <w:szCs w:val="28"/>
        </w:rPr>
        <w:t>згідно з додатком.</w:t>
      </w:r>
    </w:p>
    <w:p w14:paraId="6A9B8BF1" w14:textId="472AAAEE" w:rsidR="001A0412" w:rsidRPr="00996D24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>2. </w:t>
      </w:r>
      <w:r w:rsidR="00C936D1">
        <w:rPr>
          <w:sz w:val="28"/>
          <w:szCs w:val="28"/>
        </w:rPr>
        <w:t>Міському</w:t>
      </w:r>
      <w:r w:rsidRPr="00996D24">
        <w:rPr>
          <w:sz w:val="28"/>
          <w:szCs w:val="28"/>
        </w:rPr>
        <w:t xml:space="preserve"> комунальному підприємству «Миколаїв</w:t>
      </w:r>
      <w:r w:rsidR="00C936D1">
        <w:rPr>
          <w:sz w:val="28"/>
          <w:szCs w:val="28"/>
        </w:rPr>
        <w:t>водоканал</w:t>
      </w:r>
      <w:r w:rsidRPr="00996D24">
        <w:rPr>
          <w:sz w:val="28"/>
          <w:szCs w:val="28"/>
        </w:rPr>
        <w:t>» (код ЄДРПОУ 31</w:t>
      </w:r>
      <w:r w:rsidR="006C1C6E" w:rsidRPr="006C1C6E">
        <w:rPr>
          <w:sz w:val="28"/>
          <w:szCs w:val="28"/>
        </w:rPr>
        <w:t>448144</w:t>
      </w:r>
      <w:r w:rsidRPr="00996D24">
        <w:rPr>
          <w:sz w:val="28"/>
          <w:szCs w:val="28"/>
        </w:rPr>
        <w:t>) (</w:t>
      </w:r>
      <w:proofErr w:type="spellStart"/>
      <w:r w:rsidR="00C936D1">
        <w:rPr>
          <w:sz w:val="28"/>
          <w:szCs w:val="28"/>
        </w:rPr>
        <w:t>Дуденк</w:t>
      </w:r>
      <w:r w:rsidR="00494BCD">
        <w:rPr>
          <w:sz w:val="28"/>
          <w:szCs w:val="28"/>
        </w:rPr>
        <w:t>у</w:t>
      </w:r>
      <w:proofErr w:type="spellEnd"/>
      <w:r w:rsidRPr="00996D24">
        <w:rPr>
          <w:sz w:val="28"/>
          <w:szCs w:val="28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</w:t>
      </w:r>
      <w:r w:rsidR="002910FF">
        <w:rPr>
          <w:sz w:val="28"/>
          <w:szCs w:val="28"/>
        </w:rPr>
        <w:t xml:space="preserve"> «Про внесення змін до рішення міської ради від 31.05.2012 №</w:t>
      </w:r>
      <w:r w:rsidR="00494BCD">
        <w:rPr>
          <w:sz w:val="28"/>
          <w:szCs w:val="28"/>
        </w:rPr>
        <w:t> </w:t>
      </w:r>
      <w:r w:rsidR="002910FF">
        <w:rPr>
          <w:sz w:val="28"/>
          <w:szCs w:val="28"/>
        </w:rPr>
        <w:t>17/16 «</w:t>
      </w:r>
      <w:r w:rsidR="00494BCD">
        <w:rPr>
          <w:sz w:val="28"/>
          <w:szCs w:val="28"/>
        </w:rPr>
        <w:t>П</w:t>
      </w:r>
      <w:r w:rsidR="002910FF">
        <w:rPr>
          <w:sz w:val="28"/>
          <w:szCs w:val="28"/>
        </w:rPr>
        <w:t>ро затвердження Порядку списання майна, що належить до комунальної власності територіальної громади м.</w:t>
      </w:r>
      <w:r w:rsidR="00494BCD">
        <w:rPr>
          <w:sz w:val="28"/>
          <w:szCs w:val="28"/>
        </w:rPr>
        <w:t> </w:t>
      </w:r>
      <w:r w:rsidR="002910FF">
        <w:rPr>
          <w:sz w:val="28"/>
          <w:szCs w:val="28"/>
        </w:rPr>
        <w:t>Миколаєва»</w:t>
      </w:r>
      <w:r w:rsidRPr="00996D24">
        <w:rPr>
          <w:sz w:val="28"/>
          <w:szCs w:val="28"/>
        </w:rPr>
        <w:t>.</w:t>
      </w:r>
    </w:p>
    <w:p w14:paraId="011A9750" w14:textId="77777777" w:rsidR="001A0412" w:rsidRPr="00996D24" w:rsidRDefault="001A0412" w:rsidP="00996D24">
      <w:pPr>
        <w:ind w:firstLine="567"/>
        <w:jc w:val="both"/>
        <w:rPr>
          <w:sz w:val="28"/>
          <w:szCs w:val="28"/>
        </w:rPr>
      </w:pPr>
      <w:r w:rsidRPr="00996D24">
        <w:rPr>
          <w:sz w:val="28"/>
          <w:szCs w:val="28"/>
        </w:rPr>
        <w:t xml:space="preserve">3.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996D24">
        <w:rPr>
          <w:sz w:val="28"/>
          <w:szCs w:val="28"/>
        </w:rPr>
        <w:t>діджиталізації</w:t>
      </w:r>
      <w:proofErr w:type="spellEnd"/>
      <w:r w:rsidRPr="00996D24">
        <w:rPr>
          <w:sz w:val="28"/>
          <w:szCs w:val="28"/>
        </w:rPr>
        <w:t xml:space="preserve"> (Іванова), заступника міського голови Андрієнка Ю.Г.</w:t>
      </w:r>
    </w:p>
    <w:p w14:paraId="742B840B" w14:textId="77777777" w:rsidR="001A0412" w:rsidRPr="00996D24" w:rsidRDefault="001A0412" w:rsidP="00996D24">
      <w:pPr>
        <w:jc w:val="both"/>
        <w:rPr>
          <w:sz w:val="28"/>
          <w:szCs w:val="28"/>
        </w:rPr>
      </w:pPr>
    </w:p>
    <w:p w14:paraId="6C7EACB2" w14:textId="51E38CC1" w:rsidR="001A0412" w:rsidRDefault="001A0412" w:rsidP="00996D24">
      <w:pPr>
        <w:jc w:val="both"/>
        <w:rPr>
          <w:sz w:val="28"/>
          <w:szCs w:val="28"/>
        </w:rPr>
      </w:pPr>
    </w:p>
    <w:p w14:paraId="219BAD1E" w14:textId="77777777" w:rsidR="00753681" w:rsidRPr="00996D24" w:rsidRDefault="00753681" w:rsidP="00996D24">
      <w:pPr>
        <w:jc w:val="both"/>
        <w:rPr>
          <w:sz w:val="28"/>
          <w:szCs w:val="28"/>
        </w:rPr>
      </w:pPr>
    </w:p>
    <w:p w14:paraId="1E374791" w14:textId="77777777" w:rsidR="00753681" w:rsidRDefault="001A0412" w:rsidP="00996D24">
      <w:pPr>
        <w:jc w:val="both"/>
        <w:rPr>
          <w:sz w:val="28"/>
          <w:szCs w:val="28"/>
        </w:rPr>
        <w:sectPr w:rsidR="00753681" w:rsidSect="0075368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96D24">
        <w:rPr>
          <w:sz w:val="28"/>
          <w:szCs w:val="28"/>
        </w:rPr>
        <w:t xml:space="preserve">Міський голова                                                                              </w:t>
      </w:r>
      <w:r w:rsidR="00996D24">
        <w:rPr>
          <w:sz w:val="28"/>
          <w:szCs w:val="28"/>
        </w:rPr>
        <w:t xml:space="preserve">      </w:t>
      </w:r>
      <w:r w:rsidRPr="00996D24">
        <w:rPr>
          <w:sz w:val="28"/>
          <w:szCs w:val="28"/>
        </w:rPr>
        <w:t>О. СЄНКЕВИЧ</w:t>
      </w:r>
    </w:p>
    <w:p w14:paraId="079A58D4" w14:textId="77777777" w:rsidR="001A0412" w:rsidRPr="001A0412" w:rsidRDefault="001A0412" w:rsidP="00996D24">
      <w:pPr>
        <w:widowControl/>
        <w:shd w:val="clear" w:color="auto" w:fill="FFFFFF"/>
        <w:tabs>
          <w:tab w:val="left" w:pos="4185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lastRenderedPageBreak/>
        <w:t>Додаток</w:t>
      </w:r>
    </w:p>
    <w:p w14:paraId="474E7D61" w14:textId="7777777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до рішення міської ради</w:t>
      </w:r>
    </w:p>
    <w:p w14:paraId="292CCD34" w14:textId="77777777" w:rsidR="001A0412" w:rsidRPr="001A0412" w:rsidRDefault="001A0412" w:rsidP="00996D24">
      <w:pPr>
        <w:widowControl/>
        <w:shd w:val="clear" w:color="auto" w:fill="FFFFFF"/>
        <w:tabs>
          <w:tab w:val="left" w:pos="6210"/>
          <w:tab w:val="right" w:pos="14570"/>
        </w:tabs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від_______________________</w:t>
      </w:r>
    </w:p>
    <w:p w14:paraId="36C90B00" w14:textId="77777777" w:rsidR="001A0412" w:rsidRPr="001A0412" w:rsidRDefault="001A0412" w:rsidP="00996D24">
      <w:pPr>
        <w:widowControl/>
        <w:shd w:val="clear" w:color="auto" w:fill="FFFFFF"/>
        <w:autoSpaceDE/>
        <w:autoSpaceDN/>
        <w:ind w:left="11766"/>
        <w:rPr>
          <w:sz w:val="28"/>
          <w:szCs w:val="28"/>
          <w:lang w:eastAsia="ru-RU"/>
        </w:rPr>
      </w:pPr>
      <w:r w:rsidRPr="001A0412">
        <w:rPr>
          <w:sz w:val="28"/>
          <w:szCs w:val="28"/>
          <w:lang w:eastAsia="ru-RU"/>
        </w:rPr>
        <w:t>№ _______________________</w:t>
      </w:r>
    </w:p>
    <w:p w14:paraId="59B7C0F0" w14:textId="0C6AC9CB" w:rsidR="001A0412" w:rsidRDefault="001A0412" w:rsidP="001A041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14:paraId="77CC1708" w14:textId="77777777" w:rsidR="00753681" w:rsidRPr="001A0412" w:rsidRDefault="00753681" w:rsidP="001A041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tbl>
      <w:tblPr>
        <w:tblW w:w="15735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980"/>
        <w:gridCol w:w="1276"/>
        <w:gridCol w:w="1276"/>
        <w:gridCol w:w="1417"/>
        <w:gridCol w:w="982"/>
        <w:gridCol w:w="1564"/>
        <w:gridCol w:w="854"/>
        <w:gridCol w:w="1561"/>
        <w:gridCol w:w="1701"/>
        <w:gridCol w:w="1560"/>
      </w:tblGrid>
      <w:tr w:rsidR="001A0412" w:rsidRPr="00753681" w14:paraId="10B99471" w14:textId="77777777" w:rsidTr="006777A8">
        <w:trPr>
          <w:trHeight w:val="367"/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8B07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№ з/п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EF9590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Найменування 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497F44" w14:textId="77777777" w:rsidR="001A0412" w:rsidRPr="00753681" w:rsidRDefault="001A0412" w:rsidP="001A0412">
            <w:pPr>
              <w:spacing w:line="276" w:lineRule="auto"/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Рік випуску та дата введення</w:t>
            </w:r>
          </w:p>
          <w:p w14:paraId="43A43842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до експлуатації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F0CAD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Номер об’єкта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66145F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28844F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Вартість здійснених капітальних інвестицій, грн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68B806" w14:textId="77777777" w:rsidR="001A0412" w:rsidRPr="00753681" w:rsidRDefault="001A0412" w:rsidP="001A0412">
            <w:pPr>
              <w:spacing w:line="276" w:lineRule="auto"/>
              <w:ind w:left="-57" w:right="-57" w:hanging="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Первісна (переоцінена)</w:t>
            </w:r>
          </w:p>
          <w:p w14:paraId="3E68722E" w14:textId="77777777" w:rsidR="001A0412" w:rsidRPr="00753681" w:rsidRDefault="001A0412" w:rsidP="001A0412">
            <w:pPr>
              <w:spacing w:after="160" w:line="276" w:lineRule="auto"/>
              <w:ind w:left="-57" w:right="-57" w:hanging="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вартість, грн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F12ACC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Сума нарахованого зносу, грн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03B705" w14:textId="77777777" w:rsidR="001A0412" w:rsidRPr="00753681" w:rsidRDefault="001A0412" w:rsidP="001A0412">
            <w:pPr>
              <w:spacing w:line="276" w:lineRule="auto"/>
              <w:ind w:left="-57" w:right="-57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Балансова (залишкова)</w:t>
            </w:r>
          </w:p>
          <w:p w14:paraId="4B90E54D" w14:textId="77777777" w:rsidR="001A0412" w:rsidRPr="00753681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753681">
              <w:rPr>
                <w:color w:val="000000"/>
                <w:sz w:val="27"/>
                <w:szCs w:val="27"/>
              </w:rPr>
              <w:t>вартість, грн</w:t>
            </w:r>
          </w:p>
        </w:tc>
      </w:tr>
      <w:tr w:rsidR="001A0412" w:rsidRPr="001A0412" w14:paraId="234A9E3A" w14:textId="77777777" w:rsidTr="006777A8">
        <w:trPr>
          <w:cantSplit/>
          <w:trHeight w:val="3725"/>
          <w:tblCellSpacing w:w="0" w:type="dxa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61E2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7E2BB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12A5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9247AA" w14:textId="77777777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інвентарний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D42B30" w14:textId="77777777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заводський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898F87" w14:textId="77777777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color w:val="000000"/>
                <w:sz w:val="27"/>
                <w:szCs w:val="27"/>
              </w:rPr>
              <w:t>паспортний</w:t>
            </w: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05A3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FEA8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2E9A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8CEF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7AA4" w14:textId="77777777" w:rsidR="001A0412" w:rsidRPr="00E14FE9" w:rsidRDefault="001A0412" w:rsidP="001A0412">
            <w:pPr>
              <w:rPr>
                <w:sz w:val="27"/>
                <w:szCs w:val="27"/>
                <w:lang w:eastAsia="ru-RU"/>
              </w:rPr>
            </w:pPr>
          </w:p>
        </w:tc>
      </w:tr>
      <w:tr w:rsidR="001A0412" w:rsidRPr="001A0412" w14:paraId="5BD67D94" w14:textId="77777777" w:rsidTr="006777A8">
        <w:trPr>
          <w:tblCellSpacing w:w="0" w:type="dxa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D6D7" w14:textId="7CEBCFD9" w:rsidR="001A0412" w:rsidRPr="00E14FE9" w:rsidRDefault="001A0412" w:rsidP="001A0412">
            <w:pPr>
              <w:spacing w:after="160" w:line="276" w:lineRule="auto"/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  <w:r w:rsidRPr="00E14FE9">
              <w:rPr>
                <w:sz w:val="27"/>
                <w:szCs w:val="27"/>
                <w:lang w:eastAsia="ru-RU"/>
              </w:rPr>
              <w:t>1</w:t>
            </w:r>
            <w:r w:rsidR="00E14FE9" w:rsidRPr="00E14FE9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FD0E" w14:textId="3D42DBD0" w:rsidR="001A0412" w:rsidRPr="009552FA" w:rsidRDefault="00C936D1" w:rsidP="00C936D1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Автоклав вертикальний-</w:t>
            </w:r>
            <w:proofErr w:type="spellStart"/>
            <w:r>
              <w:rPr>
                <w:sz w:val="27"/>
                <w:szCs w:val="27"/>
                <w:lang w:eastAsia="ru-RU"/>
              </w:rPr>
              <w:t>стерілізатор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з функцією </w:t>
            </w:r>
            <w:proofErr w:type="spellStart"/>
            <w:r>
              <w:rPr>
                <w:sz w:val="27"/>
                <w:szCs w:val="27"/>
                <w:lang w:eastAsia="ru-RU"/>
              </w:rPr>
              <w:t>превакуума</w:t>
            </w:r>
            <w:proofErr w:type="spellEnd"/>
            <w:r w:rsidR="009552FA">
              <w:rPr>
                <w:sz w:val="27"/>
                <w:szCs w:val="27"/>
                <w:lang w:eastAsia="ru-RU"/>
              </w:rPr>
              <w:t xml:space="preserve"> </w:t>
            </w:r>
            <w:r w:rsidR="009552FA">
              <w:rPr>
                <w:sz w:val="27"/>
                <w:szCs w:val="27"/>
                <w:lang w:val="en-US" w:eastAsia="ru-RU"/>
              </w:rPr>
              <w:t>TUTTNAUER</w:t>
            </w:r>
            <w:r w:rsidR="009552FA">
              <w:rPr>
                <w:sz w:val="27"/>
                <w:szCs w:val="27"/>
                <w:lang w:eastAsia="ru-RU"/>
              </w:rPr>
              <w:t xml:space="preserve">, Ізраїль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C3B9" w14:textId="094075EB" w:rsidR="001A0412" w:rsidRPr="00600589" w:rsidRDefault="003E4756" w:rsidP="003E4756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val="en-US" w:eastAsia="ru-RU"/>
              </w:rPr>
              <w:t>20</w:t>
            </w:r>
            <w:r w:rsidR="009552FA">
              <w:rPr>
                <w:sz w:val="27"/>
                <w:szCs w:val="27"/>
                <w:lang w:eastAsia="ru-RU"/>
              </w:rPr>
              <w:t>17</w:t>
            </w:r>
            <w:r w:rsidR="006777A8">
              <w:rPr>
                <w:sz w:val="27"/>
                <w:szCs w:val="27"/>
                <w:lang w:eastAsia="ru-RU"/>
              </w:rPr>
              <w:t>, 0</w:t>
            </w:r>
            <w:r>
              <w:rPr>
                <w:sz w:val="27"/>
                <w:szCs w:val="27"/>
                <w:lang w:val="en-US" w:eastAsia="ru-RU"/>
              </w:rPr>
              <w:t>8</w:t>
            </w:r>
            <w:r w:rsidR="006777A8">
              <w:rPr>
                <w:sz w:val="27"/>
                <w:szCs w:val="27"/>
                <w:lang w:eastAsia="ru-RU"/>
              </w:rPr>
              <w:t>.</w:t>
            </w:r>
            <w:r w:rsidR="00CA7293">
              <w:rPr>
                <w:sz w:val="27"/>
                <w:szCs w:val="27"/>
                <w:lang w:eastAsia="ru-RU"/>
              </w:rPr>
              <w:t>20</w:t>
            </w:r>
            <w:r w:rsidR="00291C2D">
              <w:rPr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7F84" w14:textId="6A5CA9BB" w:rsidR="001A0412" w:rsidRPr="00600589" w:rsidRDefault="009552FA" w:rsidP="00AB09BA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1041783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EAB2" w14:textId="44F2B5A0" w:rsidR="001A0412" w:rsidRPr="00E14FE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7194" w14:textId="77777777" w:rsidR="001A0412" w:rsidRPr="00E14FE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F61C" w14:textId="77777777" w:rsidR="001A0412" w:rsidRPr="00E14FE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649E" w14:textId="77777777" w:rsidR="001A0412" w:rsidRPr="00600589" w:rsidRDefault="001A0412" w:rsidP="00E14FE9">
            <w:pPr>
              <w:ind w:left="-57" w:right="-57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D012" w14:textId="59F31ECB" w:rsidR="001A0412" w:rsidRPr="00E14FE9" w:rsidRDefault="009552FA" w:rsidP="00E14FE9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350 495,68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3819" w14:textId="4356B86A" w:rsidR="001A0412" w:rsidRPr="00600589" w:rsidRDefault="009552FA" w:rsidP="00E14FE9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348 764,02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1710" w14:textId="70ED897B" w:rsidR="001A0412" w:rsidRPr="00E14FE9" w:rsidRDefault="009552FA" w:rsidP="00E14FE9">
            <w:pPr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1 731,66</w:t>
            </w:r>
          </w:p>
        </w:tc>
      </w:tr>
    </w:tbl>
    <w:p w14:paraId="61C6BC30" w14:textId="10980072" w:rsidR="001A0412" w:rsidRDefault="001A0412" w:rsidP="00E14FE9"/>
    <w:sectPr w:rsidR="001A0412" w:rsidSect="0075368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CEDAF" w14:textId="77777777" w:rsidR="00B80038" w:rsidRDefault="00B80038" w:rsidP="00996D24">
      <w:r>
        <w:separator/>
      </w:r>
    </w:p>
  </w:endnote>
  <w:endnote w:type="continuationSeparator" w:id="0">
    <w:p w14:paraId="71388BDA" w14:textId="77777777" w:rsidR="00B80038" w:rsidRDefault="00B80038" w:rsidP="009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18A87" w14:textId="77777777" w:rsidR="00B80038" w:rsidRDefault="00B80038" w:rsidP="00996D24">
      <w:r>
        <w:separator/>
      </w:r>
    </w:p>
  </w:footnote>
  <w:footnote w:type="continuationSeparator" w:id="0">
    <w:p w14:paraId="6558FB96" w14:textId="77777777" w:rsidR="00B80038" w:rsidRDefault="00B80038" w:rsidP="0099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887796612"/>
      <w:docPartObj>
        <w:docPartGallery w:val="Page Numbers (Top of Page)"/>
        <w:docPartUnique/>
      </w:docPartObj>
    </w:sdtPr>
    <w:sdtEndPr/>
    <w:sdtContent>
      <w:p w14:paraId="6E7773DC" w14:textId="03A17EB1" w:rsidR="00996D24" w:rsidRPr="00996D24" w:rsidRDefault="00996D24">
        <w:pPr>
          <w:pStyle w:val="a4"/>
          <w:jc w:val="center"/>
          <w:rPr>
            <w:sz w:val="28"/>
            <w:szCs w:val="28"/>
          </w:rPr>
        </w:pPr>
        <w:r w:rsidRPr="00996D24">
          <w:rPr>
            <w:sz w:val="28"/>
            <w:szCs w:val="28"/>
          </w:rPr>
          <w:fldChar w:fldCharType="begin"/>
        </w:r>
        <w:r w:rsidRPr="00996D24">
          <w:rPr>
            <w:sz w:val="28"/>
            <w:szCs w:val="28"/>
          </w:rPr>
          <w:instrText>PAGE   \* MERGEFORMAT</w:instrText>
        </w:r>
        <w:r w:rsidRPr="00996D24">
          <w:rPr>
            <w:sz w:val="28"/>
            <w:szCs w:val="28"/>
          </w:rPr>
          <w:fldChar w:fldCharType="separate"/>
        </w:r>
        <w:r w:rsidR="00635C70" w:rsidRPr="00635C70">
          <w:rPr>
            <w:noProof/>
            <w:sz w:val="28"/>
            <w:szCs w:val="28"/>
            <w:lang w:val="ru-RU"/>
          </w:rPr>
          <w:t>2</w:t>
        </w:r>
        <w:r w:rsidRPr="00996D2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1B"/>
    <w:rsid w:val="0000107A"/>
    <w:rsid w:val="0005141B"/>
    <w:rsid w:val="00055D7F"/>
    <w:rsid w:val="000F5718"/>
    <w:rsid w:val="001A0412"/>
    <w:rsid w:val="001A4F8F"/>
    <w:rsid w:val="001B5C17"/>
    <w:rsid w:val="002910FF"/>
    <w:rsid w:val="00291C2D"/>
    <w:rsid w:val="002961A2"/>
    <w:rsid w:val="00296422"/>
    <w:rsid w:val="003B1C61"/>
    <w:rsid w:val="003E4756"/>
    <w:rsid w:val="00415DE7"/>
    <w:rsid w:val="00445A60"/>
    <w:rsid w:val="0049087F"/>
    <w:rsid w:val="00494BCD"/>
    <w:rsid w:val="004F3187"/>
    <w:rsid w:val="00582033"/>
    <w:rsid w:val="005C6229"/>
    <w:rsid w:val="005F02B6"/>
    <w:rsid w:val="00600589"/>
    <w:rsid w:val="00635C70"/>
    <w:rsid w:val="00651604"/>
    <w:rsid w:val="006777A8"/>
    <w:rsid w:val="0069617F"/>
    <w:rsid w:val="006C1C6E"/>
    <w:rsid w:val="00734484"/>
    <w:rsid w:val="00753681"/>
    <w:rsid w:val="00823C76"/>
    <w:rsid w:val="00896248"/>
    <w:rsid w:val="008C2D57"/>
    <w:rsid w:val="008F520B"/>
    <w:rsid w:val="009552FA"/>
    <w:rsid w:val="00957A56"/>
    <w:rsid w:val="009763D8"/>
    <w:rsid w:val="00996D24"/>
    <w:rsid w:val="009A28B9"/>
    <w:rsid w:val="009C7A5A"/>
    <w:rsid w:val="009F7526"/>
    <w:rsid w:val="00A06C51"/>
    <w:rsid w:val="00A911B0"/>
    <w:rsid w:val="00AB09BA"/>
    <w:rsid w:val="00B80038"/>
    <w:rsid w:val="00C07714"/>
    <w:rsid w:val="00C936D1"/>
    <w:rsid w:val="00CA7293"/>
    <w:rsid w:val="00CE0737"/>
    <w:rsid w:val="00CF002C"/>
    <w:rsid w:val="00D206C0"/>
    <w:rsid w:val="00D816A3"/>
    <w:rsid w:val="00D94CA1"/>
    <w:rsid w:val="00E14FE9"/>
    <w:rsid w:val="00E65249"/>
    <w:rsid w:val="00E73BA8"/>
    <w:rsid w:val="00EC2900"/>
    <w:rsid w:val="00ED1864"/>
    <w:rsid w:val="00ED4E39"/>
    <w:rsid w:val="00EE2526"/>
    <w:rsid w:val="00F03CA4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1A04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 Spacing"/>
    <w:uiPriority w:val="1"/>
    <w:qFormat/>
    <w:rsid w:val="001A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D2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D24"/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7536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36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368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36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36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1A04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 Spacing"/>
    <w:uiPriority w:val="1"/>
    <w:qFormat/>
    <w:rsid w:val="001A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D2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96D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D24"/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7536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36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368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36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368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2</cp:revision>
  <dcterms:created xsi:type="dcterms:W3CDTF">2025-06-09T09:39:00Z</dcterms:created>
  <dcterms:modified xsi:type="dcterms:W3CDTF">2025-06-09T09:39:00Z</dcterms:modified>
</cp:coreProperties>
</file>