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d0g6w9eco5al" w:id="0"/>
      <w:bookmarkEnd w:id="0"/>
      <w:r w:rsidDel="00000000" w:rsidR="00000000" w:rsidRPr="00000000">
        <w:rPr>
          <w:rFonts w:ascii="Times New Roman" w:cs="Times New Roman" w:eastAsia="Times New Roman" w:hAnsi="Times New Roman"/>
          <w:color w:val="000000"/>
          <w:sz w:val="28"/>
          <w:szCs w:val="28"/>
          <w:rtl w:val="0"/>
        </w:rPr>
        <w:t xml:space="preserve">S-zr-200/377</w:t>
        <w:tab/>
        <w:tab/>
        <w:t xml:space="preserve">     27.02.2026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color w:val="000000"/>
          <w:sz w:val="28"/>
          <w:szCs w:val="28"/>
        </w:rPr>
      </w:pPr>
      <w:bookmarkStart w:colFirst="0" w:colLast="0" w:name="_657teuleitmx" w:id="1"/>
      <w:bookmarkEnd w:id="1"/>
      <w:r w:rsidDel="00000000" w:rsidR="00000000" w:rsidRPr="00000000">
        <w:rPr>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Про надання дозволу КП «МИКОЛАЇВСЬКІ ПАРКИ» на розроблення проєкту землеустрою щодо відведення в постійне користування земельної ділянки поблизу території по  вул. Ковальській, 209 в Інгульському районі м. Миколаєва (незабудована земельна ділянка)</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8"/>
          <w:szCs w:val="28"/>
        </w:rPr>
      </w:pPr>
      <w:bookmarkStart w:colFirst="0" w:colLast="0" w:name="_vbxytiq2c86l" w:id="2"/>
      <w:bookmarkEnd w:id="2"/>
      <w:r w:rsidDel="00000000" w:rsidR="00000000" w:rsidRPr="00000000">
        <w:rPr>
          <w:rFonts w:ascii="Times New Roman" w:cs="Times New Roman" w:eastAsia="Times New Roman" w:hAnsi="Times New Roman"/>
          <w:color w:val="000000"/>
          <w:sz w:val="28"/>
          <w:szCs w:val="28"/>
          <w:rtl w:val="0"/>
        </w:rPr>
        <w:t xml:space="preserve">       Розглянувши звернення КП «МИКОЛАЇВСЬКІ ПАРКИ», дозвільну справу від 10.02.2026 № 19.04-06/7402/2026,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«Про надання дозволу КП «МИКОЛАЇВСЬКІ ПАРКИ» на розроблення проєкту землеустрою щодо відведення в постійне користування земельної ділянки поблизу території по  вул. Ковальській, 209 в Інгульському районі м. Миколаєва (незабудована земельна ділянка)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C">
      <w:pPr>
        <w:widowControl w:val="0"/>
        <w:spacing w:after="0" w:line="240" w:lineRule="auto"/>
        <w:ind w:right="-20" w:firstLine="566"/>
        <w:jc w:val="both"/>
        <w:rPr>
          <w:rFonts w:ascii="Times New Roman" w:cs="Times New Roman" w:eastAsia="Times New Roman" w:hAnsi="Times New Roman"/>
          <w:color w:val="000000"/>
          <w:sz w:val="28"/>
          <w:szCs w:val="28"/>
        </w:rPr>
      </w:pPr>
      <w:bookmarkStart w:colFirst="0" w:colLast="0" w:name="_etqdr5rj32co" w:id="3"/>
      <w:bookmarkEnd w:id="3"/>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Відповідно до проєкту рішення передбачено:</w:t>
      </w:r>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1. Надати КП                                        « МИКОЛАЇВСЬКІ ПАРКИ » дозвіл на розроблення проєкту землеустрою щодо відведення в постійне користування земельної ділянки орієнтовною площею 12235 кв.м для  будівництва та обслуговування об’єктів зеленого господарства поблизу території по  вул. Ковальській, 209 в Інгульському районі м. Миколаєва, відповідно до висновку департаменту архітектури та містобудування Миколаївської міської ради від 12.02.2026 № 8527/12.02-13/26-2 (незабудована земельна ділянка). </w:t>
      </w:r>
    </w:p>
    <w:p w:rsidR="00000000" w:rsidDel="00000000" w:rsidP="00000000" w:rsidRDefault="00000000" w:rsidRPr="00000000" w14:paraId="0000000D">
      <w:pPr>
        <w:widowControl w:val="0"/>
        <w:spacing w:after="0" w:line="240" w:lineRule="auto"/>
        <w:ind w:right="-20"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Площу земельної ділянки уточнити проєктом землеустрою щодо відведення земельної ділянки.</w:t>
      </w:r>
    </w:p>
    <w:p w:rsidR="00000000" w:rsidDel="00000000" w:rsidP="00000000" w:rsidRDefault="00000000" w:rsidRPr="00000000" w14:paraId="0000000E">
      <w:pPr>
        <w:widowControl w:val="0"/>
        <w:spacing w:after="0" w:line="240" w:lineRule="auto"/>
        <w:ind w:right="-20"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Замовнику надати до департаменту з надання адміністративних послуг Миколаївської міської ради розроблену документацію із землеустрою.</w:t>
      </w:r>
    </w:p>
    <w:p w:rsidR="00000000" w:rsidDel="00000000" w:rsidP="00000000" w:rsidRDefault="00000000" w:rsidRPr="00000000" w14:paraId="0000000F">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0">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розробленні проєкту рішення враховані та прийняті до відома  пропозиції юридичного департаменту Миколаївської міської ради від 27.02.2026                                                              № 11521/02.06.01.01-04/26-2. </w:t>
      </w:r>
    </w:p>
    <w:p w:rsidR="00000000" w:rsidDel="00000000" w:rsidP="00000000" w:rsidRDefault="00000000" w:rsidRPr="00000000" w14:paraId="00000011">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2">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3">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tl w:val="0"/>
        </w:rPr>
      </w:r>
    </w:p>
    <w:p w:rsidR="00000000" w:rsidDel="00000000" w:rsidP="00000000" w:rsidRDefault="00000000" w:rsidRPr="00000000" w14:paraId="0000001E">
      <w:pPr>
        <w:rPr>
          <w:rFonts w:ascii="Aptos" w:cs="Aptos" w:eastAsia="Aptos" w:hAnsi="Aptos"/>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8" w:w="11906" w:orient="portrait"/>
      <w:pgMar w:bottom="709"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