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h7egbx3crka6" w:id="0"/>
      <w:bookmarkEnd w:id="0"/>
      <w:r w:rsidDel="00000000" w:rsidR="00000000" w:rsidRPr="00000000">
        <w:rPr>
          <w:rFonts w:ascii="Times New Roman" w:cs="Times New Roman" w:eastAsia="Times New Roman" w:hAnsi="Times New Roman"/>
          <w:color w:val="000000"/>
          <w:sz w:val="28"/>
          <w:szCs w:val="28"/>
          <w:rtl w:val="0"/>
        </w:rPr>
        <w:t xml:space="preserve">S-zr-200/371</w:t>
        <w:tab/>
        <w:tab/>
        <w:t xml:space="preserve">     29.01.2026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sz w:val="28"/>
          <w:szCs w:val="28"/>
        </w:rPr>
      </w:pPr>
      <w:bookmarkStart w:colFirst="0" w:colLast="0" w:name="_7i61hpj0j3n4" w:id="1"/>
      <w:bookmarkEnd w:id="1"/>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 передачу в оренду приватному підприємству  «БІЗНЕС ЦЕНТР «VITAHO» земельної ділянки (кадастровий номер 4810136900:05:078:0010), цільове призначення якої змінюється, по вул. Новозаводській,23 в Інгульському районі м. Миколаєва (забудована земельна ділянка)»</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B">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C">
      <w:pPr>
        <w:widowControl w:val="0"/>
        <w:tabs>
          <w:tab w:val="left" w:leader="none" w:pos="1308"/>
          <w:tab w:val="left" w:leader="none" w:pos="3039"/>
          <w:tab w:val="left" w:leader="none" w:pos="4745"/>
        </w:tabs>
        <w:spacing w:after="0" w:line="240" w:lineRule="auto"/>
        <w:jc w:val="both"/>
        <w:rPr>
          <w:rFonts w:ascii="Times New Roman" w:cs="Times New Roman" w:eastAsia="Times New Roman" w:hAnsi="Times New Roman"/>
          <w:sz w:val="28"/>
          <w:szCs w:val="28"/>
        </w:rPr>
      </w:pPr>
      <w:bookmarkStart w:colFirst="0" w:colLast="0" w:name="_jl405lfstgmt" w:id="2"/>
      <w:bookmarkEnd w:id="2"/>
      <w:r w:rsidDel="00000000" w:rsidR="00000000" w:rsidRPr="00000000">
        <w:rPr>
          <w:rFonts w:ascii="Times New Roman" w:cs="Times New Roman" w:eastAsia="Times New Roman" w:hAnsi="Times New Roman"/>
          <w:sz w:val="28"/>
          <w:szCs w:val="28"/>
          <w:rtl w:val="0"/>
        </w:rPr>
        <w:t xml:space="preserve">           Розглянувши звернення приватного підприємства «БІЗНЕС ЦЕНТР «VITAHO»,  дозвільну справу від 26.01.2026 № 19.04-06/4729/2026,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w:t>
      </w:r>
      <w:r w:rsidDel="00000000" w:rsidR="00000000" w:rsidRPr="00000000">
        <w:rPr>
          <w:rFonts w:ascii="Times New Roman" w:cs="Times New Roman" w:eastAsia="Times New Roman" w:hAnsi="Times New Roman"/>
          <w:sz w:val="28"/>
          <w:szCs w:val="28"/>
          <w:rtl w:val="0"/>
        </w:rPr>
        <w:t xml:space="preserve">Про передачу в оренду приватному підприємству                         «БІЗНЕС ЦЕНТР «VITAHO» земельної ділянки (кадастровий номер 4810136900:05:078:0010), цільове призначення якої змінюється, по вул. Новозаводській,23 в Інгульському районі м. Миколаєва (забудована земельна ділянка)</w:t>
      </w:r>
      <w:r w:rsidDel="00000000" w:rsidR="00000000" w:rsidRPr="00000000">
        <w:rPr>
          <w:rFonts w:ascii="Times New Roman" w:cs="Times New Roman" w:eastAsia="Times New Roman" w:hAnsi="Times New Roman"/>
          <w:color w:val="000000"/>
          <w:sz w:val="28"/>
          <w:szCs w:val="28"/>
          <w:rtl w:val="0"/>
        </w:rPr>
        <w:t xml:space="preserve">»  для винесення на сесію міської ради.</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vui1aw25qlkq"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Відповідно до проєкту рішення передбачено: « 1.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Затвердити проєкт землеустрою щодо відведення земельної ділянки комунальної власності (кадастровий номер</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4810136900:05:078:0010) площею 1.5446 га, зі зміною цільового призначення згідно з класифікатором видів цільового призначення земельних ділянок з виду цільового призначення 03.07 -  для будівництва та обслуговування будівель торгівлі на вид цільового призначення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яка розташована по вул. Новозаводській,23  в Інгульському районі м. Миколаєва (забудована земельна ділянка). </w:t>
      </w:r>
    </w:p>
    <w:p w:rsidR="00000000" w:rsidDel="00000000" w:rsidP="00000000" w:rsidRDefault="00000000" w:rsidRPr="00000000" w14:paraId="0000000E">
      <w:pPr>
        <w:spacing w:after="120" w:before="38" w:line="259" w:lineRule="auto"/>
        <w:ind w:right="13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F">
      <w:pPr>
        <w:widowControl w:val="0"/>
        <w:numPr>
          <w:ilvl w:val="1"/>
          <w:numId w:val="1"/>
        </w:numPr>
        <w:tabs>
          <w:tab w:val="left" w:leader="none" w:pos="770"/>
        </w:tabs>
        <w:spacing w:after="0" w:line="240" w:lineRule="auto"/>
        <w:ind w:left="1" w:right="140" w:firstLine="567"/>
        <w:jc w:val="both"/>
        <w:rPr/>
      </w:pPr>
      <w:r w:rsidDel="00000000" w:rsidR="00000000" w:rsidRPr="00000000">
        <w:rPr>
          <w:rFonts w:ascii="Times New Roman" w:cs="Times New Roman" w:eastAsia="Times New Roman" w:hAnsi="Times New Roman"/>
          <w:sz w:val="28"/>
          <w:szCs w:val="28"/>
          <w:rtl w:val="0"/>
        </w:rPr>
        <w:t xml:space="preserve">01.08 - охоронна зона навколо інженерних комунікацій на частину земельної ділянки площею 0.3415 га;</w:t>
      </w:r>
    </w:p>
    <w:p w:rsidR="00000000" w:rsidDel="00000000" w:rsidP="00000000" w:rsidRDefault="00000000" w:rsidRPr="00000000" w14:paraId="00000010">
      <w:pPr>
        <w:widowControl w:val="0"/>
        <w:numPr>
          <w:ilvl w:val="1"/>
          <w:numId w:val="1"/>
        </w:numPr>
        <w:tabs>
          <w:tab w:val="left" w:leader="none" w:pos="770"/>
        </w:tabs>
        <w:spacing w:after="0" w:line="240" w:lineRule="auto"/>
        <w:ind w:left="1" w:right="139" w:firstLine="567"/>
        <w:jc w:val="both"/>
        <w:rPr>
          <w:color w:val="000000"/>
        </w:rPr>
      </w:pPr>
      <w:r w:rsidDel="00000000" w:rsidR="00000000" w:rsidRPr="00000000">
        <w:rPr>
          <w:rFonts w:ascii="Times New Roman" w:cs="Times New Roman" w:eastAsia="Times New Roman" w:hAnsi="Times New Roman"/>
          <w:color w:val="000000"/>
          <w:sz w:val="28"/>
          <w:szCs w:val="28"/>
          <w:rtl w:val="0"/>
        </w:rPr>
        <w:t xml:space="preserve">03.01 - санітарно-захисна зона навколо (уздовж) об’єкта площею              1.5445 га.</w:t>
      </w:r>
    </w:p>
    <w:p w:rsidR="00000000" w:rsidDel="00000000" w:rsidP="00000000" w:rsidRDefault="00000000" w:rsidRPr="00000000" w14:paraId="00000011">
      <w:pPr>
        <w:widowControl w:val="0"/>
        <w:tabs>
          <w:tab w:val="left" w:leader="none" w:pos="2243"/>
          <w:tab w:val="left" w:leader="none" w:pos="2801"/>
          <w:tab w:val="left" w:leader="none" w:pos="4826"/>
          <w:tab w:val="left" w:leader="none" w:pos="6282"/>
        </w:tabs>
        <w:spacing w:after="0" w:line="240" w:lineRule="auto"/>
        <w:ind w:right="139"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дану ділянку згідно із Схемою планувальних обмежень  Генерального плану міста Миколаєва діють обмеження санітарно-гігієнічного характеру - СЗЗ об’єктів транспорту (100 м, 50-15 м), виробничих та комунально-складських об’єктів 4-5 класу шкідливості (100-50 м).</w:t>
      </w:r>
    </w:p>
    <w:p w:rsidR="00000000" w:rsidDel="00000000" w:rsidP="00000000" w:rsidRDefault="00000000" w:rsidRPr="00000000" w14:paraId="00000012">
      <w:pPr>
        <w:widowControl w:val="0"/>
        <w:spacing w:after="0" w:line="24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2. Змінити цільове призначення земельної ділянки </w:t>
      </w:r>
      <w:r w:rsidDel="00000000" w:rsidR="00000000" w:rsidRPr="00000000">
        <w:rPr>
          <w:rFonts w:ascii="Times New Roman" w:cs="Times New Roman" w:eastAsia="Times New Roman" w:hAnsi="Times New Roman"/>
          <w:color w:val="000000"/>
          <w:sz w:val="28"/>
          <w:szCs w:val="28"/>
          <w:highlight w:val="white"/>
          <w:rtl w:val="0"/>
        </w:rPr>
        <w:t xml:space="preserve">(кадастровий номер</w:t>
      </w:r>
      <w:r w:rsidDel="00000000" w:rsidR="00000000" w:rsidRPr="00000000">
        <w:rPr>
          <w:rFonts w:ascii="Times New Roman" w:cs="Times New Roman" w:eastAsia="Times New Roman" w:hAnsi="Times New Roman"/>
          <w:color w:val="000000"/>
          <w:sz w:val="28"/>
          <w:szCs w:val="28"/>
          <w:rtl w:val="0"/>
        </w:rPr>
        <w:t xml:space="preserve"> 4810136900:05:078:0010)  площею 1.5446 га,  згідно з класифікатором видів цільового призначення земельних ділянок з виду цільового призначення 03.07 – для будівництва та обслуговування будівель торгівлі  на вид цільового призначення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включаючи об’єкти оброблення відходів, зокрема із енергогенеруючим блоком.</w:t>
      </w:r>
      <w:r w:rsidDel="00000000" w:rsidR="00000000" w:rsidRPr="00000000">
        <w:rPr>
          <w:rtl w:val="0"/>
        </w:rPr>
      </w:r>
    </w:p>
    <w:p w:rsidR="00000000" w:rsidDel="00000000" w:rsidP="00000000" w:rsidRDefault="00000000" w:rsidRPr="00000000" w14:paraId="00000013">
      <w:pPr>
        <w:widowControl w:val="0"/>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3. Передати </w:t>
      </w:r>
      <w:r w:rsidDel="00000000" w:rsidR="00000000" w:rsidRPr="00000000">
        <w:rPr>
          <w:rFonts w:ascii="Times New Roman" w:cs="Times New Roman" w:eastAsia="Times New Roman" w:hAnsi="Times New Roman"/>
          <w:color w:val="000000"/>
          <w:sz w:val="28"/>
          <w:szCs w:val="28"/>
          <w:rtl w:val="0"/>
        </w:rPr>
        <w:t xml:space="preserve"> приватному підприємству  «БІЗНЕС ЦЕНТР «VITAHO» в оренду на 15 років земельну ділянку (кадастровий номер 4810136900:05:078:0010) площею 1.5446 га, з віднесенням за цільовим призначенням відповідно до класифікації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нежитлового об'єкта по                       вул. Новозаводській, 23 в Інгульському районі м. Миколаєва (забудована земельна ділянка, номер відомостей про речове право: 35709471 від 27.02.2020, зареєстровано на підставі договору купівлі-продажу від 27.02.2020 № 539), відповідно до висновку департаменту архітектури та містобудування Миколаївської міської ради від 29.01.2026 № 5387/12.01-17/26-2.</w:t>
      </w:r>
    </w:p>
    <w:p w:rsidR="00000000" w:rsidDel="00000000" w:rsidP="00000000" w:rsidRDefault="00000000" w:rsidRPr="00000000" w14:paraId="00000014">
      <w:pPr>
        <w:widowControl w:val="0"/>
        <w:spacing w:after="0" w:line="24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w:t>
      </w:r>
      <w:r w:rsidDel="00000000" w:rsidR="00000000" w:rsidRPr="00000000">
        <w:rPr>
          <w:rFonts w:ascii="Times New Roman" w:cs="Times New Roman" w:eastAsia="Times New Roman" w:hAnsi="Times New Roman"/>
          <w:color w:val="000000"/>
          <w:sz w:val="28"/>
          <w:szCs w:val="28"/>
          <w:rtl w:val="0"/>
        </w:rPr>
        <w:t xml:space="preserve"> Приватному підприємству  «БІЗНЕС ЦЕНТР «VITAHO»:</w:t>
      </w:r>
      <w:r w:rsidDel="00000000" w:rsidR="00000000" w:rsidRPr="00000000">
        <w:rPr>
          <w:rtl w:val="0"/>
        </w:rPr>
      </w:r>
    </w:p>
    <w:p w:rsidR="00000000" w:rsidDel="00000000" w:rsidP="00000000" w:rsidRDefault="00000000" w:rsidRPr="00000000" w14:paraId="00000015">
      <w:pPr>
        <w:spacing w:after="0" w:line="3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укласти договір оренди землі;</w:t>
      </w:r>
    </w:p>
    <w:p w:rsidR="00000000" w:rsidDel="00000000" w:rsidP="00000000" w:rsidRDefault="00000000" w:rsidRPr="00000000" w14:paraId="00000016">
      <w:pPr>
        <w:spacing w:after="0" w:line="3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7">
      <w:pPr>
        <w:spacing w:after="0" w:line="3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8">
      <w:pPr>
        <w:widowControl w:val="0"/>
        <w:spacing w:after="0" w:line="240" w:lineRule="auto"/>
        <w:ind w:right="-19"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9">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A">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B">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C">
      <w:pPr>
        <w:widowControl w:val="0"/>
        <w:spacing w:after="0" w:line="240" w:lineRule="auto"/>
        <w:ind w:right="-19"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widowControl w:val="0"/>
        <w:spacing w:after="0" w:line="240" w:lineRule="auto"/>
        <w:ind w:right="-19"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21">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22">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Aptos" w:cs="Aptos" w:eastAsia="Aptos" w:hAnsi="Aptos"/>
        </w:rPr>
      </w:pPr>
      <w:r w:rsidDel="00000000" w:rsidR="00000000" w:rsidRPr="00000000">
        <w:rPr>
          <w:rtl w:val="0"/>
        </w:rPr>
      </w:r>
    </w:p>
    <w:p w:rsidR="00000000" w:rsidDel="00000000" w:rsidP="00000000" w:rsidRDefault="00000000" w:rsidRPr="00000000" w14:paraId="00000026">
      <w:pPr>
        <w:rPr>
          <w:rFonts w:ascii="Aptos" w:cs="Aptos" w:eastAsia="Aptos" w:hAnsi="Aptos"/>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8" w:w="11906" w:orient="portrait"/>
      <w:pgMar w:bottom="1276"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 w:hanging="280"/>
      </w:pPr>
      <w:rPr>
        <w:rFonts w:ascii="Times New Roman" w:cs="Times New Roman" w:eastAsia="Times New Roman" w:hAnsi="Times New Roman"/>
        <w:b w:val="0"/>
        <w:bCs w:val="0"/>
        <w:i w:val="0"/>
        <w:iCs w:val="0"/>
        <w:sz w:val="28"/>
        <w:szCs w:val="28"/>
      </w:rPr>
    </w:lvl>
    <w:lvl w:ilvl="1">
      <w:start w:val="0"/>
      <w:numFmt w:val="bullet"/>
      <w:lvlText w:val="-"/>
      <w:lvlJc w:val="left"/>
      <w:pPr>
        <w:ind w:left="1" w:hanging="269"/>
      </w:pPr>
      <w:rPr>
        <w:rFonts w:ascii="Times New Roman" w:cs="Times New Roman" w:eastAsia="Times New Roman" w:hAnsi="Times New Roman"/>
        <w:b w:val="0"/>
        <w:bCs w:val="0"/>
        <w:i w:val="0"/>
        <w:iCs w:val="0"/>
        <w:sz w:val="28"/>
        <w:szCs w:val="28"/>
      </w:rPr>
    </w:lvl>
    <w:lvl w:ilvl="2">
      <w:start w:val="0"/>
      <w:numFmt w:val="bullet"/>
      <w:lvlText w:val="•"/>
      <w:lvlJc w:val="left"/>
      <w:pPr>
        <w:ind w:left="1956" w:hanging="269"/>
      </w:pPr>
      <w:rPr/>
    </w:lvl>
    <w:lvl w:ilvl="3">
      <w:start w:val="0"/>
      <w:numFmt w:val="bullet"/>
      <w:lvlText w:val="•"/>
      <w:lvlJc w:val="left"/>
      <w:pPr>
        <w:ind w:left="2934" w:hanging="269"/>
      </w:pPr>
      <w:rPr/>
    </w:lvl>
    <w:lvl w:ilvl="4">
      <w:start w:val="0"/>
      <w:numFmt w:val="bullet"/>
      <w:lvlText w:val="•"/>
      <w:lvlJc w:val="left"/>
      <w:pPr>
        <w:ind w:left="3912" w:hanging="269"/>
      </w:pPr>
      <w:rPr/>
    </w:lvl>
    <w:lvl w:ilvl="5">
      <w:start w:val="0"/>
      <w:numFmt w:val="bullet"/>
      <w:lvlText w:val="•"/>
      <w:lvlJc w:val="left"/>
      <w:pPr>
        <w:ind w:left="4890" w:hanging="269"/>
      </w:pPr>
      <w:rPr/>
    </w:lvl>
    <w:lvl w:ilvl="6">
      <w:start w:val="0"/>
      <w:numFmt w:val="bullet"/>
      <w:lvlText w:val="•"/>
      <w:lvlJc w:val="left"/>
      <w:pPr>
        <w:ind w:left="5868" w:hanging="269"/>
      </w:pPr>
      <w:rPr/>
    </w:lvl>
    <w:lvl w:ilvl="7">
      <w:start w:val="0"/>
      <w:numFmt w:val="bullet"/>
      <w:lvlText w:val="•"/>
      <w:lvlJc w:val="left"/>
      <w:pPr>
        <w:ind w:left="6846" w:hanging="269"/>
      </w:pPr>
      <w:rPr/>
    </w:lvl>
    <w:lvl w:ilvl="8">
      <w:start w:val="0"/>
      <w:numFmt w:val="bullet"/>
      <w:lvlText w:val="•"/>
      <w:lvlJc w:val="left"/>
      <w:pPr>
        <w:ind w:left="7824" w:hanging="26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