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s-zr-303/299</w:t>
        <w:tab/>
        <w:t xml:space="preserve">16.02.2026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r w:rsidDel="00000000" w:rsidR="00000000" w:rsidRPr="00000000">
        <w:rPr>
          <w:color w:val="000000"/>
          <w:sz w:val="26"/>
          <w:szCs w:val="26"/>
          <w:rtl w:val="0"/>
        </w:rPr>
        <w:t xml:space="preserve">«</w:t>
      </w:r>
      <w:r w:rsidDel="00000000" w:rsidR="00000000" w:rsidRPr="00000000">
        <w:rPr>
          <w:sz w:val="26"/>
          <w:szCs w:val="26"/>
          <w:rtl w:val="0"/>
        </w:rPr>
        <w:t xml:space="preserve">Про відмову ФОП Ковальчуку Андрію Володимировичу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у вигляді магазину «Ягідка» по вул. Сил Територіальної Оборони України ріг вул. Льотчиків у Центральному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заяву ФОП Ковальчука Андрія Володимировича, дозвільну справу від 30.04.2025 № 19.04-06/21791/2025,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ФОП Ковальчуку Андрію Володимировичу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у вигляді магазину «Ягідка» по вул. Сил Територіальної Оборони України ріг вул. Льотчиків у Центральному районі м. Миколаєва»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Відмовити ФОП Ковальчуку Андрію Володимировичу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площею 38 кв.м для розміщення стаціонарної тимчасової споруди у вигляді магазину «Ягідка» по вул. Сил Територіальної Оборони України ріг вул. Льотчиків в Центральному районі м. Миколаєва (незабудована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Підстава:  </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 подання суб'єктом господарювання неповного пакета документів відповідно до підпункту 2.1.1 пункту 2.1 розділу 2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пункту 8 рішення Миколаївської міської ради від 25.01.2024 № 28/68 «Про затвердження Положення про порядок організації створення, оновлення, перевірки топографо-геодезичних знімань та ведення єдиної цифрової топографічної основи території м. Миколаєва масштабу 1:500, 1:2000», а саме: використання доданих заявником графічних матеріалів із зазначенням бажаного місця розташування земельної ділянки, виконаних на топографо-геодезичній основі, є неможливим, оскільки сплинув однорічний строк з дати взяття їх на облік для внесення до містобудівного кадастру, що підтверджено висновком департаменту архітектури та містобудування Миколаївської міської ради від 06.02.2026 № 7417/12.01-17/26-2, з урахуванням вимог пунктів 3, 4 рішення Миколаївської міської ради від 25.01.2024 № 28/68;</w:t>
      </w:r>
    </w:p>
    <w:p w:rsidR="00000000" w:rsidDel="00000000" w:rsidP="00000000" w:rsidRDefault="00000000" w:rsidRPr="00000000" w14:paraId="0000000D">
      <w:pPr>
        <w:ind w:firstLine="567"/>
        <w:jc w:val="both"/>
        <w:rPr>
          <w:sz w:val="26"/>
          <w:szCs w:val="26"/>
        </w:rPr>
      </w:pPr>
      <w:r w:rsidDel="00000000" w:rsidR="00000000" w:rsidRPr="00000000">
        <w:rPr>
          <w:sz w:val="26"/>
          <w:szCs w:val="26"/>
          <w:rtl w:val="0"/>
        </w:rPr>
        <w:t xml:space="preserve">- п. 3 ДБН В.2.2-23:2009 «Підприємства торгівлі», п. 1.3.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244, магазин не відноситься до об’єктів тимчасових споруд (малих архітектурних форм).</w:t>
      </w:r>
    </w:p>
    <w:p w:rsidR="00000000" w:rsidDel="00000000" w:rsidP="00000000" w:rsidRDefault="00000000" w:rsidRPr="00000000" w14:paraId="0000000E">
      <w:pPr>
        <w:ind w:firstLine="567"/>
        <w:jc w:val="both"/>
        <w:rPr>
          <w:sz w:val="26"/>
          <w:szCs w:val="26"/>
        </w:rPr>
      </w:pPr>
      <w:r w:rsidDel="00000000" w:rsidR="00000000" w:rsidRPr="00000000">
        <w:rPr>
          <w:sz w:val="26"/>
          <w:szCs w:val="26"/>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851" w:top="709" w:left="567"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