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s-zr-303/294</w:t>
        <w:tab/>
        <w:t xml:space="preserve">12.02.2026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r w:rsidDel="00000000" w:rsidR="00000000" w:rsidRPr="00000000">
        <w:rPr>
          <w:color w:val="000000"/>
          <w:sz w:val="26"/>
          <w:szCs w:val="26"/>
          <w:rtl w:val="0"/>
        </w:rPr>
        <w:t xml:space="preserve">«</w:t>
      </w:r>
      <w:r w:rsidDel="00000000" w:rsidR="00000000" w:rsidRPr="00000000">
        <w:rPr>
          <w:sz w:val="26"/>
          <w:szCs w:val="26"/>
          <w:rtl w:val="0"/>
        </w:rPr>
        <w:t xml:space="preserve">Про відмову ФОП Чернишеву Михайлу Олексійовичу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вул. Лазурній, поблизу житлового будинку № 14-а в Заводському районі м. Миколаєва</w:t>
      </w:r>
      <w:r w:rsidDel="00000000" w:rsidR="00000000" w:rsidRPr="00000000">
        <w:rPr>
          <w:color w:val="000000"/>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msjiporb0axj"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заяву ФОП Чернишева Михайла Олексійовича, дозвільну справу від 02.06.2025 № 19.04-06/28124/2025,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ФОП Чернишеву Михайлу Олексійовичу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вул. Лазурній, поблизу житлового будинку № 14-а в Заводському районі м. Миколаєва» для винесення на сесію міської ради.</w:t>
      </w:r>
    </w:p>
    <w:p w:rsidR="00000000" w:rsidDel="00000000" w:rsidP="00000000" w:rsidRDefault="00000000" w:rsidRPr="00000000" w14:paraId="0000000A">
      <w:pPr>
        <w:ind w:firstLine="567"/>
        <w:jc w:val="both"/>
        <w:rPr>
          <w:sz w:val="26"/>
          <w:szCs w:val="26"/>
        </w:rPr>
      </w:pPr>
      <w:r w:rsidDel="00000000" w:rsidR="00000000" w:rsidRPr="00000000">
        <w:rPr>
          <w:sz w:val="26"/>
          <w:szCs w:val="26"/>
          <w:rtl w:val="0"/>
        </w:rPr>
        <w:t xml:space="preserve">Відповідно до проєкту рішення передбачено: «1. Відмовити ФОП Чернишеву Михайлу Олексійовичу у наданні попереднього погодження на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площею 73 кв.м для розміщення стаціонарної тимчасової споруди по вул. Лазурній, поблизу житлового будинку № 14-а в Заводському районі м. Миколаєва (незабудована земельна ділянка).</w:t>
      </w:r>
    </w:p>
    <w:p w:rsidR="00000000" w:rsidDel="00000000" w:rsidP="00000000" w:rsidRDefault="00000000" w:rsidRPr="00000000" w14:paraId="0000000B">
      <w:pPr>
        <w:ind w:firstLine="567"/>
        <w:jc w:val="both"/>
        <w:rPr>
          <w:sz w:val="26"/>
          <w:szCs w:val="26"/>
        </w:rPr>
      </w:pPr>
      <w:r w:rsidDel="00000000" w:rsidR="00000000" w:rsidRPr="00000000">
        <w:rPr>
          <w:sz w:val="26"/>
          <w:szCs w:val="26"/>
          <w:rtl w:val="0"/>
        </w:rPr>
        <w:t xml:space="preserve">Підстава: подання суб'єктом господарювання неповного пакета документів відповідно до підпункту 2.1.1 пункту 2.1 розділу 2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пункту 8 рішення Миколаївської міської ради від 25.01.2024 № 28/68 «Про затвердження Положення про порядок організації створення, оновлення, перевірки топографо-геодезичних знімань та ведення єдиної цифрової топографічної основи території м. Миколаєва масштабу 1:500, 1:2000», а саме: використання доданих заявником графічних матеріалів із зазначенням бажаного місця розташування земельної ділянки, виконаних на топографо-геодезичній основі, є неможливим, оскільки сплинув однорічний строк з дати взяття їх на облік для внесення до містобудівного кадастру, що підтверджено висновком департаменту архітектури та містобудування Миколаївської міської ради від 06.02.2026 № 7410/12.01-17/26-2, з урахуванням вимог пунктів 3, 4 рішення Миколаївської міської ради від 25.01.2024 № 28/68.</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426" w:top="284" w:left="426" w:right="428"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