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240403A8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A7723C">
        <w:rPr>
          <w:lang w:val="ru-RU"/>
        </w:rPr>
        <w:t>9</w:t>
      </w:r>
      <w:r w:rsidR="006B3F12">
        <w:rPr>
          <w:lang w:val="ru-RU"/>
        </w:rPr>
        <w:t>6</w:t>
      </w:r>
      <w:r>
        <w:tab/>
      </w:r>
      <w:r w:rsidR="006B3F12">
        <w:rPr>
          <w:lang w:val="ru-RU"/>
        </w:rPr>
        <w:t>16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440FD02B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6B3F12">
        <w:rPr>
          <w:color w:val="000000"/>
          <w:sz w:val="28"/>
          <w:szCs w:val="28"/>
        </w:rPr>
        <w:t xml:space="preserve">Про надання у власність громадянину Кравцову Роланду Володимировичу </w:t>
      </w:r>
      <w:r w:rsidR="006B3F12" w:rsidRPr="00910BDB">
        <w:rPr>
          <w:color w:val="000000"/>
          <w:sz w:val="28"/>
          <w:szCs w:val="28"/>
        </w:rPr>
        <w:t>земельної ділянки</w:t>
      </w:r>
      <w:r w:rsidR="006B3F12">
        <w:rPr>
          <w:color w:val="000000"/>
          <w:sz w:val="28"/>
          <w:szCs w:val="28"/>
        </w:rPr>
        <w:t xml:space="preserve"> (кадастровий номер 4810136600:06:053:0029) для будівництва і обслуговування житлового будинку, господарських будівель і споруд (присадибна ділянка)</w:t>
      </w:r>
      <w:r w:rsidR="006B3F12" w:rsidRPr="00910BDB">
        <w:rPr>
          <w:color w:val="000000"/>
          <w:sz w:val="28"/>
          <w:szCs w:val="28"/>
        </w:rPr>
        <w:t xml:space="preserve"> </w:t>
      </w:r>
      <w:r w:rsidR="006B3F12">
        <w:rPr>
          <w:color w:val="000000"/>
          <w:sz w:val="28"/>
          <w:szCs w:val="28"/>
        </w:rPr>
        <w:t xml:space="preserve">за </w:t>
      </w:r>
      <w:proofErr w:type="spellStart"/>
      <w:r w:rsidR="006B3F12">
        <w:rPr>
          <w:color w:val="000000"/>
          <w:sz w:val="28"/>
          <w:szCs w:val="28"/>
        </w:rPr>
        <w:t>адресою</w:t>
      </w:r>
      <w:proofErr w:type="spellEnd"/>
      <w:r w:rsidR="006B3F12">
        <w:rPr>
          <w:color w:val="000000"/>
          <w:sz w:val="28"/>
          <w:szCs w:val="28"/>
        </w:rPr>
        <w:t xml:space="preserve">: </w:t>
      </w:r>
      <w:proofErr w:type="spellStart"/>
      <w:r w:rsidR="006B3F12">
        <w:rPr>
          <w:color w:val="000000"/>
          <w:sz w:val="28"/>
          <w:szCs w:val="28"/>
        </w:rPr>
        <w:t>пров</w:t>
      </w:r>
      <w:proofErr w:type="spellEnd"/>
      <w:r w:rsidR="006B3F12">
        <w:rPr>
          <w:color w:val="000000"/>
          <w:sz w:val="28"/>
          <w:szCs w:val="28"/>
        </w:rPr>
        <w:t xml:space="preserve">. Львівський, 13 в </w:t>
      </w:r>
      <w:bookmarkEnd w:id="0"/>
      <w:r w:rsidR="006B3F12">
        <w:rPr>
          <w:color w:val="000000"/>
          <w:sz w:val="28"/>
          <w:szCs w:val="28"/>
        </w:rPr>
        <w:t xml:space="preserve">Корабельному районі </w:t>
      </w:r>
      <w:r w:rsidR="006B3F12" w:rsidRPr="00910BDB">
        <w:rPr>
          <w:color w:val="000000"/>
          <w:sz w:val="28"/>
          <w:szCs w:val="28"/>
        </w:rPr>
        <w:t>м.</w:t>
      </w:r>
      <w:r w:rsidR="006B3F12">
        <w:rPr>
          <w:color w:val="000000"/>
          <w:sz w:val="28"/>
          <w:szCs w:val="28"/>
        </w:rPr>
        <w:t> </w:t>
      </w:r>
      <w:r w:rsidR="006B3F12" w:rsidRPr="00910BDB">
        <w:rPr>
          <w:color w:val="000000"/>
          <w:sz w:val="28"/>
          <w:szCs w:val="28"/>
        </w:rPr>
        <w:t>Миколаєва</w:t>
      </w:r>
      <w:bookmarkEnd w:id="1"/>
      <w:r w:rsidR="006B3F12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4C766935" w:rsidR="006C6DB5" w:rsidRPr="006A590E" w:rsidRDefault="006B3F12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>ина Кравцова Роланда Володимировича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24.04.2024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19.04-06/6616/2024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громадянину Кравцову Роланду Володимировичу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4810136600:06:053:0029)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пров</w:t>
      </w:r>
      <w:proofErr w:type="spellEnd"/>
      <w:r>
        <w:rPr>
          <w:color w:val="000000"/>
        </w:rPr>
        <w:t xml:space="preserve">. Львівський, 13 в Корабельному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7DC35F9" w14:textId="77777777" w:rsidR="006B3F12" w:rsidRPr="002213D0" w:rsidRDefault="0026020A" w:rsidP="006B3F12">
      <w:pPr>
        <w:ind w:firstLine="567"/>
        <w:jc w:val="both"/>
        <w:rPr>
          <w:color w:val="000000" w:themeColor="text1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6B3F12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551 </w:t>
      </w:r>
      <w:proofErr w:type="spellStart"/>
      <w:r w:rsidR="006B3F12">
        <w:rPr>
          <w:color w:val="000000"/>
          <w:sz w:val="28"/>
          <w:szCs w:val="28"/>
        </w:rPr>
        <w:t>кв.м</w:t>
      </w:r>
      <w:proofErr w:type="spellEnd"/>
      <w:r w:rsidR="006B3F12">
        <w:rPr>
          <w:color w:val="000000"/>
          <w:sz w:val="28"/>
          <w:szCs w:val="28"/>
        </w:rPr>
        <w:t xml:space="preserve"> (кадастровий номер </w:t>
      </w:r>
      <w:r w:rsidR="006B3F12">
        <w:rPr>
          <w:color w:val="000000"/>
          <w:sz w:val="28"/>
          <w:szCs w:val="28"/>
        </w:rPr>
        <w:lastRenderedPageBreak/>
        <w:t xml:space="preserve">4810136600:06:053:0029), </w:t>
      </w:r>
      <w:r w:rsidR="006B3F12" w:rsidRPr="002213D0">
        <w:rPr>
          <w:color w:val="000000" w:themeColor="text1"/>
          <w:sz w:val="28"/>
          <w:szCs w:val="28"/>
        </w:rPr>
        <w:t xml:space="preserve">з метою передачі у власність громадянину </w:t>
      </w:r>
      <w:r w:rsidR="006B3F12">
        <w:rPr>
          <w:color w:val="000000"/>
          <w:sz w:val="28"/>
          <w:szCs w:val="28"/>
        </w:rPr>
        <w:t>Кравцову Роланду Володимировичу</w:t>
      </w:r>
      <w:r w:rsidR="006B3F12" w:rsidRPr="002213D0">
        <w:rPr>
          <w:color w:val="000000" w:themeColor="text1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6B3F12">
        <w:rPr>
          <w:color w:val="000000" w:themeColor="text1"/>
          <w:sz w:val="28"/>
          <w:szCs w:val="28"/>
        </w:rPr>
        <w:t>пров</w:t>
      </w:r>
      <w:proofErr w:type="spellEnd"/>
      <w:r w:rsidR="006B3F12" w:rsidRPr="002213D0">
        <w:rPr>
          <w:color w:val="000000" w:themeColor="text1"/>
          <w:sz w:val="28"/>
          <w:szCs w:val="28"/>
        </w:rPr>
        <w:t>. </w:t>
      </w:r>
      <w:r w:rsidR="006B3F12">
        <w:rPr>
          <w:color w:val="000000" w:themeColor="text1"/>
          <w:sz w:val="28"/>
          <w:szCs w:val="28"/>
        </w:rPr>
        <w:t>Львівському</w:t>
      </w:r>
      <w:r w:rsidR="006B3F12" w:rsidRPr="002213D0">
        <w:rPr>
          <w:color w:val="000000" w:themeColor="text1"/>
          <w:sz w:val="28"/>
          <w:szCs w:val="28"/>
        </w:rPr>
        <w:t xml:space="preserve">, </w:t>
      </w:r>
      <w:r w:rsidR="006B3F12">
        <w:rPr>
          <w:color w:val="000000" w:themeColor="text1"/>
          <w:sz w:val="28"/>
          <w:szCs w:val="28"/>
        </w:rPr>
        <w:t>13</w:t>
      </w:r>
      <w:r w:rsidR="006B3F12" w:rsidRPr="002213D0">
        <w:rPr>
          <w:color w:val="000000" w:themeColor="text1"/>
          <w:sz w:val="28"/>
          <w:szCs w:val="28"/>
        </w:rPr>
        <w:t xml:space="preserve"> в </w:t>
      </w:r>
      <w:r w:rsidR="006B3F12">
        <w:rPr>
          <w:color w:val="000000" w:themeColor="text1"/>
          <w:sz w:val="28"/>
          <w:szCs w:val="28"/>
        </w:rPr>
        <w:t>Корабельному</w:t>
      </w:r>
      <w:r w:rsidR="006B3F12" w:rsidRPr="002213D0">
        <w:rPr>
          <w:color w:val="000000" w:themeColor="text1"/>
          <w:sz w:val="28"/>
          <w:szCs w:val="28"/>
        </w:rPr>
        <w:t xml:space="preserve"> районі м. Миколаєва (забудована земельна ділянка).</w:t>
      </w:r>
    </w:p>
    <w:p w14:paraId="260F5485" w14:textId="77777777" w:rsidR="006B3F12" w:rsidRDefault="006B3F12" w:rsidP="006B3F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5933CE03" w14:textId="352A3B99" w:rsidR="006A590E" w:rsidRPr="00DF38BA" w:rsidRDefault="006B3F12" w:rsidP="006B3F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Надати громадянину Кравцову Роланду Володимировичу у власність земельну ділянку (кадастровий номер 4810136600:06:053:0029) площею 551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>. Львівському, 13 в Корабельному районі м. Миколаєва (</w:t>
      </w:r>
      <w:r>
        <w:rPr>
          <w:color w:val="000000" w:themeColor="text1"/>
          <w:sz w:val="28"/>
          <w:szCs w:val="28"/>
        </w:rPr>
        <w:t>право власності на нерухоме майно відповідно до відомостей з державного реєстру речових прав від 12.12.2019 № 34599021,</w:t>
      </w:r>
      <w:r w:rsidRPr="003242A0">
        <w:rPr>
          <w:color w:val="000000" w:themeColor="text1"/>
          <w:sz w:val="28"/>
          <w:szCs w:val="28"/>
        </w:rPr>
        <w:t xml:space="preserve"> зареєстроване за </w:t>
      </w:r>
      <w:r>
        <w:rPr>
          <w:color w:val="000000" w:themeColor="text1"/>
          <w:sz w:val="28"/>
          <w:szCs w:val="28"/>
        </w:rPr>
        <w:t xml:space="preserve">Кравцовим Роландом Володимировичем </w:t>
      </w:r>
      <w:r w:rsidRPr="003242A0">
        <w:rPr>
          <w:color w:val="000000" w:themeColor="text1"/>
          <w:sz w:val="28"/>
          <w:szCs w:val="28"/>
        </w:rPr>
        <w:t>на підставі</w:t>
      </w:r>
      <w:r>
        <w:rPr>
          <w:color w:val="000000" w:themeColor="text1"/>
          <w:sz w:val="28"/>
          <w:szCs w:val="28"/>
        </w:rPr>
        <w:t xml:space="preserve"> договору купівлі-продажу житлового будинку від 12.12.2019 № 1181)</w:t>
      </w:r>
      <w:r>
        <w:rPr>
          <w:color w:val="000000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</w:t>
      </w:r>
      <w:r w:rsidRPr="001F65A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14.05</w:t>
      </w:r>
      <w:r w:rsidRPr="001F65AA">
        <w:rPr>
          <w:color w:val="000000" w:themeColor="text1"/>
          <w:sz w:val="28"/>
          <w:szCs w:val="28"/>
        </w:rPr>
        <w:t>.2024 № </w:t>
      </w:r>
      <w:r>
        <w:rPr>
          <w:color w:val="000000" w:themeColor="text1"/>
          <w:sz w:val="28"/>
          <w:szCs w:val="28"/>
        </w:rPr>
        <w:t>13584</w:t>
      </w:r>
      <w:r w:rsidRPr="001F65AA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  <w:r w:rsidR="00A7723C"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ECA" w14:textId="77777777" w:rsidR="005F579B" w:rsidRDefault="005F579B">
      <w:r>
        <w:separator/>
      </w:r>
    </w:p>
  </w:endnote>
  <w:endnote w:type="continuationSeparator" w:id="0">
    <w:p w14:paraId="42AE3E2C" w14:textId="77777777" w:rsidR="005F579B" w:rsidRDefault="005F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BF4B" w14:textId="77777777" w:rsidR="005F579B" w:rsidRDefault="005F579B">
      <w:r>
        <w:separator/>
      </w:r>
    </w:p>
  </w:footnote>
  <w:footnote w:type="continuationSeparator" w:id="0">
    <w:p w14:paraId="4292ADCC" w14:textId="77777777" w:rsidR="005F579B" w:rsidRDefault="005F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4036F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5F579B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3F12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34A1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18</cp:revision>
  <cp:lastPrinted>2024-05-17T06:00:00Z</cp:lastPrinted>
  <dcterms:created xsi:type="dcterms:W3CDTF">2024-05-01T11:22:00Z</dcterms:created>
  <dcterms:modified xsi:type="dcterms:W3CDTF">2024-05-27T10:14:00Z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