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1F9F0" w14:textId="77777777" w:rsidR="00B66053" w:rsidRDefault="00281A27">
      <w:pPr>
        <w:pStyle w:val="ac"/>
        <w:jc w:val="left"/>
        <w:rPr>
          <w:sz w:val="22"/>
          <w:szCs w:val="22"/>
        </w:rPr>
      </w:pPr>
      <w:r>
        <w:rPr>
          <w:sz w:val="22"/>
          <w:szCs w:val="22"/>
        </w:rPr>
        <w:t>s-zd-044</w:t>
      </w:r>
    </w:p>
    <w:p w14:paraId="1EDE3C83" w14:textId="77777777" w:rsidR="00B66053" w:rsidRDefault="00B66053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4EC43CA3" w14:textId="77777777" w:rsidR="00B66053" w:rsidRDefault="00B66053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59572B41" w14:textId="77777777" w:rsidR="00B66053" w:rsidRDefault="00B66053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002347FD" w14:textId="77777777" w:rsidR="00B66053" w:rsidRDefault="00B66053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648D738C" w14:textId="77777777" w:rsidR="00B66053" w:rsidRDefault="00B66053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2196BC5F" w14:textId="77777777" w:rsidR="00B66053" w:rsidRDefault="00B66053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2EC549B3" w14:textId="77777777" w:rsidR="00B66053" w:rsidRDefault="00B66053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74E646C9" w14:textId="77777777" w:rsidR="002E35C9" w:rsidRDefault="002E35C9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BB64BB" w14:textId="77777777" w:rsidR="002E35C9" w:rsidRDefault="002E35C9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132183" w14:textId="10144948" w:rsidR="00B66053" w:rsidRDefault="00B40EAA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7FF964A5" w14:textId="77777777" w:rsidR="00B66053" w:rsidRDefault="00B6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9707C7" w14:textId="77777777" w:rsidR="00B66053" w:rsidRDefault="00B6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121E41" w14:textId="77777777" w:rsidR="00B66053" w:rsidRDefault="00B4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r w:rsidR="006B7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31.05.2012 № 17/16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 частиною п’ятою статті 60 Закону України «Про місцеве самоврядування в Україні», міська рада</w:t>
      </w:r>
    </w:p>
    <w:p w14:paraId="401F8FF6" w14:textId="77777777" w:rsidR="00B66053" w:rsidRDefault="00B66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E29CDF" w14:textId="77777777" w:rsidR="00B66053" w:rsidRDefault="00B4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31A8DBF2" w14:textId="77777777" w:rsidR="00B66053" w:rsidRDefault="00B6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AB0F3" w14:textId="1B9AF479" w:rsidR="00B66053" w:rsidRDefault="00B4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згоду комунальному некомерційному підприємству </w:t>
      </w:r>
      <w:r w:rsidR="00D453B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«Міська лікарня швидкої медичної допомоги» (код ЄДРПОУ 05483090) на списання основних засобів, які перебувають в оперативному управлінні підприємства відповідно </w:t>
      </w:r>
      <w:r w:rsidR="00ED5F7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ED5F7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33328B" w14:textId="77777777" w:rsidR="00B66053" w:rsidRDefault="00B6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26D749" w14:textId="2868D0D8" w:rsidR="00B66053" w:rsidRDefault="00B4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Комунальному некомерційному підприємству </w:t>
      </w:r>
      <w:r w:rsidR="00D453B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«Міська лікарня швидкої медичної допомоги» (код ЄДРПОУ 05483090)  (Дем’янов</w:t>
      </w:r>
      <w:r w:rsidR="00C25C0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r w:rsidR="006B7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31.05.2012 № 17/16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1DEEB9" w14:textId="77777777" w:rsidR="00B66053" w:rsidRDefault="00B6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5C1BEE" w14:textId="77777777" w:rsidR="00B66053" w:rsidRDefault="00B40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 Л.</w:t>
      </w:r>
    </w:p>
    <w:p w14:paraId="7EA84270" w14:textId="77777777" w:rsidR="00B66053" w:rsidRDefault="00B66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9BFBF" w14:textId="77777777" w:rsidR="00B66053" w:rsidRDefault="00B66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0DBC02" w14:textId="77777777" w:rsidR="00B66053" w:rsidRDefault="00B66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F2665B" w14:textId="77777777" w:rsidR="00B66053" w:rsidRDefault="00B4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66053" w:rsidSect="002E35C9">
          <w:headerReference w:type="default" r:id="rId6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244D6B6E" w14:textId="77777777" w:rsidR="00B66053" w:rsidRDefault="00B40EAA">
      <w:pPr>
        <w:pStyle w:val="rvps14"/>
        <w:spacing w:before="0" w:after="0"/>
        <w:ind w:firstLine="10915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91F218B" w14:textId="77777777" w:rsidR="00B66053" w:rsidRDefault="00B40EAA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4A56AF62" w14:textId="4044CCCD" w:rsidR="00B66053" w:rsidRDefault="00B40EAA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</w:t>
      </w:r>
    </w:p>
    <w:p w14:paraId="7A930CED" w14:textId="5A2337F2" w:rsidR="00B66053" w:rsidRPr="002E35C9" w:rsidRDefault="00B40EAA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</w:t>
      </w:r>
    </w:p>
    <w:p w14:paraId="7663E77D" w14:textId="77777777" w:rsidR="00B66053" w:rsidRDefault="00B66053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566"/>
        <w:gridCol w:w="4428"/>
        <w:gridCol w:w="846"/>
        <w:gridCol w:w="1276"/>
        <w:gridCol w:w="1421"/>
        <w:gridCol w:w="855"/>
        <w:gridCol w:w="1274"/>
        <w:gridCol w:w="717"/>
        <w:gridCol w:w="1345"/>
        <w:gridCol w:w="1284"/>
        <w:gridCol w:w="1228"/>
      </w:tblGrid>
      <w:tr w:rsidR="00B66053" w14:paraId="2197AF38" w14:textId="77777777" w:rsidTr="002E35C9">
        <w:trPr>
          <w:trHeight w:val="155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4AF4D" w14:textId="77777777" w:rsidR="00B66053" w:rsidRDefault="00B40E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</w:t>
            </w:r>
          </w:p>
          <w:p w14:paraId="3BB617C8" w14:textId="77777777" w:rsidR="00B66053" w:rsidRDefault="00B40E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B2268" w14:textId="77777777" w:rsidR="00B66053" w:rsidRDefault="00B40E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Найменування об’єкта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23C5F3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DD0C5" w14:textId="77777777" w:rsidR="00B66053" w:rsidRDefault="00B40E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Номер об’єкта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FEEF912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D609C5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741A96D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0D92CA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Сума нарахованого зносу, грн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C52135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B66053" w14:paraId="7F5EF859" w14:textId="77777777" w:rsidTr="002E35C9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BD53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510C05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46E0C0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52903C9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інвентарний</w:t>
            </w:r>
          </w:p>
        </w:tc>
        <w:tc>
          <w:tcPr>
            <w:tcW w:w="14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183254A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заводський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F3A579B" w14:textId="77777777" w:rsidR="00B66053" w:rsidRDefault="00B40EA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паспортний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FB957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604E3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E660D7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1DF2FF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FE0C6" w14:textId="77777777" w:rsidR="00B66053" w:rsidRDefault="00B660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53" w14:paraId="12923E61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683D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DA62" w14:textId="77777777" w:rsidR="00B66053" w:rsidRDefault="00B40E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Вбиральня літ. 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9C92" w14:textId="77777777" w:rsidR="00B66053" w:rsidRDefault="00B40EAA">
            <w:pPr>
              <w:widowControl w:val="0"/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650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10310036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D1A5" w14:textId="77777777" w:rsidR="00B66053" w:rsidRDefault="00B6605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9191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2D5C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F969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2CED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22 939,00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5CA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4 797,66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9934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18 141,34</w:t>
            </w:r>
          </w:p>
        </w:tc>
      </w:tr>
      <w:tr w:rsidR="00B66053" w14:paraId="6C179DEF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C497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94EB" w14:textId="122CAA61" w:rsidR="00B66053" w:rsidRDefault="00B40EAA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Дефібрилятор синхронізований </w:t>
            </w:r>
            <w:r w:rsidR="002E3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ДКІ Н-02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E0D4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D63E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10472576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EEF54" w14:textId="77777777" w:rsidR="00B66053" w:rsidRDefault="00B40EA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ДКІ Н-02//03002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302516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0B7FFA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9827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1289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29 340,00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E7C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22 009,25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F7F0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7 330,75</w:t>
            </w:r>
          </w:p>
        </w:tc>
      </w:tr>
      <w:tr w:rsidR="00B66053" w14:paraId="4C007B20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BB74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450E" w14:textId="77777777" w:rsidR="00B66053" w:rsidRDefault="00B40E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Дефібрилятор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(тип3)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DFA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REANIBEX-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03DB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8CE7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10473977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C63110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DFA 210 REANIBEX-</w:t>
            </w:r>
            <w:r>
              <w:rPr>
                <w:rFonts w:ascii="Times New Roman" w:hAnsi="Times New Roman" w:cs="Times New Roman"/>
                <w:lang w:val="uk-UA"/>
              </w:rPr>
              <w:t>200/</w:t>
            </w:r>
            <w:r>
              <w:rPr>
                <w:rFonts w:ascii="Times New Roman" w:hAnsi="Times New Roman" w:cs="Times New Roman"/>
                <w:lang w:val="en-US"/>
              </w:rPr>
              <w:t xml:space="preserve">OSATU S Coop </w:t>
            </w:r>
            <w:r>
              <w:rPr>
                <w:rFonts w:ascii="Times New Roman" w:hAnsi="Times New Roman" w:cs="Times New Roman"/>
                <w:lang w:val="uk-UA"/>
              </w:rPr>
              <w:t>Іспанія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52707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C706D0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5D6083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3A4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69 440,00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D5C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28 354,79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B89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41 085,21</w:t>
            </w:r>
          </w:p>
        </w:tc>
      </w:tr>
      <w:tr w:rsidR="00B66053" w14:paraId="3880992E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5C68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D31" w14:textId="42BCDB7C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Шприцевий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C25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91B8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0F6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10472087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0E51F6" w14:textId="77777777" w:rsidR="00B66053" w:rsidRDefault="00B40E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 50 C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B3F41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6883D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56E04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1D5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55 160,00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E52D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33 463,64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BF4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21 696,36</w:t>
            </w:r>
          </w:p>
        </w:tc>
      </w:tr>
      <w:tr w:rsidR="00B66053" w14:paraId="14E5C8E9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59F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4EC6" w14:textId="340E3F52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Шприцевий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C25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D22D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F6C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10472088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AF998B" w14:textId="77777777" w:rsidR="00B66053" w:rsidRDefault="00B40E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 50 C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A2547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04E4C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18A25B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7AB6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55 160,00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897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33 463,64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2D11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21 696,36</w:t>
            </w:r>
          </w:p>
        </w:tc>
      </w:tr>
      <w:tr w:rsidR="00B66053" w14:paraId="1508A372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3D0E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1495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7172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E9A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10473791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C73B5C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3D0406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D03E95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DC340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6863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544B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68D0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1B231549" w14:textId="77777777" w:rsidTr="002E35C9">
        <w:trPr>
          <w:trHeight w:val="6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3102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00FE7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EEB7E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CECE8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10473792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95998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3190730001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F09D6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94D0E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DE4A7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E151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5A3A4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37B6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15F1E560" w14:textId="77777777" w:rsidTr="002E35C9">
        <w:trPr>
          <w:trHeight w:val="6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61B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AAC7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6837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CA3D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10473793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57235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B323E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3704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83CD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1D5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576B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8D99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3481B29E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4F97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4B25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8484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66A9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10473794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E94FC5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3190730002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A5DB1C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D390E4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6A8539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A210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2F28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E83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13EB49BF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1E0E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E3F1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5AE8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65A0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10473795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F81F7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3190730004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99CE93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6C22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A44451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9698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FD6B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AE30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54E5C702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E3D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F643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60E7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3B6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7FF008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3190730003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85387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1915D2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6E07A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61DE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484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BD30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57DD41C9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7923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EC4A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8BAE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5FE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10473797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75558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E1F9CC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8BF03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047689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3233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A37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183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1657A432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9841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E675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пацієнта БІОМЕД ВМ 1000 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DF1C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0F63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10473798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B6171E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3190730006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A19EA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516FAC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5F9FD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5D50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90 900,00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B06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47 697,25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9624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43 202,75</w:t>
            </w:r>
          </w:p>
        </w:tc>
      </w:tr>
      <w:tr w:rsidR="00B66053" w14:paraId="741A7823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BFB9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E078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хірурга ОС-1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2147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77C9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10472023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3A2F70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3AB839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BA4910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91A2E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868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1C3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60 658,02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8F9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37 341,98</w:t>
            </w:r>
          </w:p>
        </w:tc>
      </w:tr>
      <w:tr w:rsidR="00B66053" w14:paraId="75872994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CB74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FAFA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 лазерний для літотрипсії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Medilas</w:t>
            </w:r>
            <w:proofErr w:type="spellEnd"/>
            <w:r w:rsidRPr="00B4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40DC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EAF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10470277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33A80" w14:textId="77777777" w:rsidR="00B66053" w:rsidRDefault="00B40E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H20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68329E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AA373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0D5AA0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A2E3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1 000 000,00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B48F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852 498,33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A07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147 501,67</w:t>
            </w:r>
          </w:p>
        </w:tc>
      </w:tr>
      <w:tr w:rsidR="00B66053" w14:paraId="226996E5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1AFC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FEA5" w14:textId="77777777" w:rsidR="00C25C0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операційний </w:t>
            </w:r>
          </w:p>
          <w:p w14:paraId="583F1814" w14:textId="04828835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9- рефлекторний стельовий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YDO</w:t>
            </w: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 xml:space="preserve"> 2-9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8BA3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B3ED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10472046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B380E" w14:textId="77777777" w:rsidR="00B66053" w:rsidRDefault="00B40E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YDO 2-9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24A53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A38CE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20AFB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185A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35 360,00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EE04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23 045,37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E792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12 314,63</w:t>
            </w:r>
          </w:p>
        </w:tc>
      </w:tr>
      <w:tr w:rsidR="00B66053" w14:paraId="08261CA1" w14:textId="77777777" w:rsidTr="002E35C9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9446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2D66" w14:textId="77777777" w:rsidR="00B66053" w:rsidRDefault="00B40E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Комп'ютер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OptiPlex 3070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9871" w14:textId="77777777" w:rsidR="00B66053" w:rsidRDefault="00B40E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0097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10463860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57D05" w14:textId="77777777" w:rsidR="00B66053" w:rsidRDefault="00B40EAA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 SSD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9EC54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0C1F3F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17675D" w14:textId="77777777" w:rsidR="00B66053" w:rsidRDefault="00B66053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2C75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26 967,60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5DE4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13 929,49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E86B" w14:textId="77777777" w:rsidR="00B66053" w:rsidRDefault="00B40EAA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13 038,11</w:t>
            </w:r>
          </w:p>
        </w:tc>
      </w:tr>
      <w:tr w:rsidR="00B66053" w14:paraId="6B55F9A2" w14:textId="77777777" w:rsidTr="002E35C9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4F21A" w14:textId="77777777" w:rsidR="00B66053" w:rsidRDefault="00B6605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B054" w14:textId="77777777" w:rsidR="00B66053" w:rsidRPr="00C25C03" w:rsidRDefault="00B40E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5B09" w14:textId="77777777" w:rsidR="00B66053" w:rsidRPr="00C25C03" w:rsidRDefault="00B40E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3DEB" w14:textId="77777777" w:rsidR="00B66053" w:rsidRPr="00C25C03" w:rsidRDefault="00B40E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0517" w14:textId="77777777" w:rsidR="00B66053" w:rsidRPr="00C25C03" w:rsidRDefault="00B660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F6FB" w14:textId="77777777" w:rsidR="00B66053" w:rsidRPr="00C25C03" w:rsidRDefault="00B660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DACC" w14:textId="77777777" w:rsidR="00B66053" w:rsidRPr="00C25C03" w:rsidRDefault="00B660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85E6" w14:textId="77777777" w:rsidR="00B66053" w:rsidRPr="00C25C03" w:rsidRDefault="00B660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8E76" w14:textId="77777777" w:rsidR="00B66053" w:rsidRPr="00C25C03" w:rsidRDefault="00B40EAA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C25C0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2 119 566,60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30C3" w14:textId="77777777" w:rsidR="00B66053" w:rsidRPr="00C25C03" w:rsidRDefault="00B40EA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C25C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453 798,19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9843" w14:textId="77777777" w:rsidR="00B66053" w:rsidRPr="00C25C03" w:rsidRDefault="00B40EAA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C0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665 768,41</w:t>
            </w:r>
          </w:p>
        </w:tc>
      </w:tr>
    </w:tbl>
    <w:p w14:paraId="5C56BE00" w14:textId="77777777" w:rsidR="00B66053" w:rsidRDefault="00B66053">
      <w:pPr>
        <w:spacing w:line="420" w:lineRule="exact"/>
        <w:ind w:left="-360" w:firstLine="720"/>
        <w:jc w:val="both"/>
        <w:rPr>
          <w:rFonts w:asciiTheme="minorHAnsi" w:hAnsiTheme="minorHAnsi"/>
          <w:lang w:val="uk-UA"/>
        </w:rPr>
      </w:pPr>
    </w:p>
    <w:p w14:paraId="06C3F379" w14:textId="77777777" w:rsidR="00B66053" w:rsidRDefault="00B66053"/>
    <w:p w14:paraId="26602AE5" w14:textId="77777777" w:rsidR="00B66053" w:rsidRDefault="00B6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6053" w:rsidSect="002E35C9">
      <w:pgSz w:w="16838" w:h="11906" w:orient="landscape"/>
      <w:pgMar w:top="1701" w:right="567" w:bottom="567" w:left="56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FEBB" w14:textId="77777777" w:rsidR="00820140" w:rsidRDefault="00820140" w:rsidP="002E35C9">
      <w:pPr>
        <w:spacing w:after="0" w:line="240" w:lineRule="auto"/>
      </w:pPr>
      <w:r>
        <w:separator/>
      </w:r>
    </w:p>
  </w:endnote>
  <w:endnote w:type="continuationSeparator" w:id="0">
    <w:p w14:paraId="425B46C5" w14:textId="77777777" w:rsidR="00820140" w:rsidRDefault="00820140" w:rsidP="002E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E37A" w14:textId="77777777" w:rsidR="00820140" w:rsidRDefault="00820140" w:rsidP="002E35C9">
      <w:pPr>
        <w:spacing w:after="0" w:line="240" w:lineRule="auto"/>
      </w:pPr>
      <w:r>
        <w:separator/>
      </w:r>
    </w:p>
  </w:footnote>
  <w:footnote w:type="continuationSeparator" w:id="0">
    <w:p w14:paraId="583894E2" w14:textId="77777777" w:rsidR="00820140" w:rsidRDefault="00820140" w:rsidP="002E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44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CDAF81" w14:textId="7B0802F5" w:rsidR="002E35C9" w:rsidRPr="002E35C9" w:rsidRDefault="002E35C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5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5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5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E35C9">
          <w:rPr>
            <w:rFonts w:ascii="Times New Roman" w:hAnsi="Times New Roman" w:cs="Times New Roman"/>
            <w:sz w:val="28"/>
            <w:szCs w:val="28"/>
          </w:rPr>
          <w:t>2</w:t>
        </w:r>
        <w:r w:rsidRPr="002E35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53"/>
    <w:rsid w:val="001F2FF1"/>
    <w:rsid w:val="00281A27"/>
    <w:rsid w:val="002E35C9"/>
    <w:rsid w:val="005B4147"/>
    <w:rsid w:val="006B7005"/>
    <w:rsid w:val="00820140"/>
    <w:rsid w:val="008C72A4"/>
    <w:rsid w:val="00B40EAA"/>
    <w:rsid w:val="00B66053"/>
    <w:rsid w:val="00C25C03"/>
    <w:rsid w:val="00C5262C"/>
    <w:rsid w:val="00D453B5"/>
    <w:rsid w:val="00E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A7EC"/>
  <w15:docId w15:val="{7CECC4C2-CD6C-41A3-944E-0902BBC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uiPriority w:val="99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Times New Roman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5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D4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53B5"/>
    <w:rPr>
      <w:rFonts w:ascii="Tahoma" w:eastAsia="Calibri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К_</cp:lastModifiedBy>
  <cp:revision>4</cp:revision>
  <cp:lastPrinted>2025-06-04T09:02:00Z</cp:lastPrinted>
  <dcterms:created xsi:type="dcterms:W3CDTF">2025-06-17T18:50:00Z</dcterms:created>
  <dcterms:modified xsi:type="dcterms:W3CDTF">2025-06-17T18:54:00Z</dcterms:modified>
  <dc:language>uk-UA</dc:language>
</cp:coreProperties>
</file>