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68" w:right="-23" w:firstLine="0"/>
        <w:rPr>
          <w:rFonts w:ascii="Times New Roman" w:cs="Times New Roman" w:eastAsia="Times New Roman" w:hAnsi="Times New Roman"/>
          <w:sz w:val="28"/>
          <w:szCs w:val="28"/>
        </w:rPr>
      </w:pPr>
      <w:bookmarkStart w:colFirst="0" w:colLast="0" w:name="_jjv91jtmdtu9" w:id="0"/>
      <w:bookmarkEnd w:id="0"/>
      <w:r w:rsidDel="00000000" w:rsidR="00000000" w:rsidRPr="00000000">
        <w:rPr>
          <w:rFonts w:ascii="Times New Roman" w:cs="Times New Roman" w:eastAsia="Times New Roman" w:hAnsi="Times New Roman"/>
          <w:sz w:val="28"/>
          <w:szCs w:val="28"/>
          <w:rtl w:val="0"/>
        </w:rPr>
        <w:t xml:space="preserve">s-zr-210/533</w:t>
      </w:r>
    </w:p>
    <w:p w:rsidR="00000000" w:rsidDel="00000000" w:rsidP="00000000" w:rsidRDefault="00000000" w:rsidRPr="00000000" w14:paraId="00000002">
      <w:pPr>
        <w:spacing w:line="240" w:lineRule="auto"/>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04">
      <w:pPr>
        <w:spacing w:after="15" w:line="240" w:lineRule="auto"/>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05">
      <w:pPr>
        <w:widowControl w:val="0"/>
        <w:spacing w:line="342" w:lineRule="auto"/>
        <w:ind w:left="4112" w:right="2640" w:hanging="1403"/>
        <w:rPr>
          <w:rFonts w:ascii="Times New Roman" w:cs="Times New Roman" w:eastAsia="Times New Roman" w:hAnsi="Times New Roman"/>
          <w:b w:val="1"/>
          <w:bCs w:val="1"/>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МИКОЛАЇВСЬКА МІСЬКА РАДА </w:t>
      </w:r>
      <w:r w:rsidDel="00000000" w:rsidR="00000000" w:rsidRPr="00000000">
        <w:rPr>
          <w:rFonts w:ascii="Times New Roman" w:cs="Times New Roman" w:eastAsia="Times New Roman" w:hAnsi="Times New Roman"/>
          <w:b w:val="1"/>
          <w:bCs w:val="1"/>
          <w:color w:val="ffffff"/>
          <w:sz w:val="28"/>
          <w:szCs w:val="28"/>
          <w:rtl w:val="0"/>
        </w:rPr>
        <w:t xml:space="preserve">РІШЕННЯ</w:t>
      </w:r>
    </w:p>
    <w:p w:rsidR="00000000" w:rsidDel="00000000" w:rsidP="00000000" w:rsidRDefault="00000000" w:rsidRPr="00000000" w14:paraId="00000006">
      <w:pPr>
        <w:widowControl w:val="0"/>
        <w:tabs>
          <w:tab w:val="left" w:leader="none" w:pos="4202"/>
          <w:tab w:val="left" w:leader="none" w:pos="8173"/>
        </w:tabs>
        <w:spacing w:before="115" w:line="240" w:lineRule="auto"/>
        <w:ind w:right="-20"/>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від</w:t>
        <w:tab/>
      </w:r>
    </w:p>
    <w:p w:rsidR="00000000" w:rsidDel="00000000" w:rsidP="00000000" w:rsidRDefault="00000000" w:rsidRPr="00000000" w14:paraId="00000007">
      <w:pPr>
        <w:widowControl w:val="0"/>
        <w:tabs>
          <w:tab w:val="left" w:leader="none" w:pos="4202"/>
          <w:tab w:val="left" w:leader="none" w:pos="8173"/>
        </w:tabs>
        <w:spacing w:before="115" w:line="240" w:lineRule="auto"/>
        <w:ind w:right="-20"/>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Миколаїв</w:t>
        <w:tab/>
        <w:t xml:space="preserve">№</w:t>
      </w:r>
    </w:p>
    <w:p w:rsidR="00000000" w:rsidDel="00000000" w:rsidP="00000000" w:rsidRDefault="00000000" w:rsidRPr="00000000" w14:paraId="00000008">
      <w:pPr>
        <w:widowControl w:val="0"/>
        <w:tabs>
          <w:tab w:val="left" w:leader="none" w:pos="1308"/>
          <w:tab w:val="left" w:leader="none" w:pos="3039"/>
          <w:tab w:val="left" w:leader="none" w:pos="4745"/>
        </w:tabs>
        <w:spacing w:line="240" w:lineRule="auto"/>
        <w:ind w:right="34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240" w:lineRule="auto"/>
        <w:ind w:right="4534"/>
        <w:jc w:val="both"/>
        <w:rPr>
          <w:rFonts w:ascii="Times New Roman" w:cs="Times New Roman" w:eastAsia="Times New Roman" w:hAnsi="Times New Roman"/>
          <w:sz w:val="28"/>
          <w:szCs w:val="28"/>
        </w:rPr>
      </w:pPr>
      <w:bookmarkStart w:colFirst="0" w:colLast="0" w:name="_lgqgyrlnafyl" w:id="1"/>
      <w:bookmarkEnd w:id="1"/>
      <w:r w:rsidDel="00000000" w:rsidR="00000000" w:rsidRPr="00000000">
        <w:rPr>
          <w:rFonts w:ascii="Times New Roman" w:cs="Times New Roman" w:eastAsia="Times New Roman" w:hAnsi="Times New Roman"/>
          <w:sz w:val="28"/>
          <w:szCs w:val="28"/>
          <w:rtl w:val="0"/>
        </w:rPr>
        <w:t xml:space="preserve">Про передачу земельної ділянки в постійне користування Головному управлінню Держгеокадастру у Миколаївській області для обслуговування будівлі за адресою: вул. Одеське шосе, 88А у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2833"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звернення Головного управління Держгеокадастру у Миколаївській області, дозвільну справу від 07.05.2025 № 19.04-06/23152/2025</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державну реєстрацію речових прав на нерухоме майно та їх обтяжень», міська рада</w:t>
      </w:r>
    </w:p>
    <w:p w:rsidR="00000000" w:rsidDel="00000000" w:rsidP="00000000" w:rsidRDefault="00000000" w:rsidRPr="00000000" w14:paraId="0000000C">
      <w:pPr>
        <w:spacing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0E">
      <w:pPr>
        <w:spacing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8"/>
          <w:szCs w:val="28"/>
        </w:rPr>
      </w:pPr>
      <w:bookmarkStart w:colFirst="0" w:colLast="0" w:name="_rq4yfjv1wh6j" w:id="2"/>
      <w:bookmarkEnd w:id="2"/>
      <w:r w:rsidDel="00000000" w:rsidR="00000000" w:rsidRPr="00000000">
        <w:rPr>
          <w:rFonts w:ascii="Times New Roman" w:cs="Times New Roman" w:eastAsia="Times New Roman" w:hAnsi="Times New Roman"/>
          <w:sz w:val="28"/>
          <w:szCs w:val="28"/>
          <w:rtl w:val="0"/>
        </w:rPr>
        <w:t xml:space="preserve">1. Припинити ТОВ «НІК ІНВЕСТБУД» право оренди земельної ділянки, що складає 403 кв.м, з кадастровим номером </w:t>
      </w:r>
      <w:r w:rsidDel="00000000" w:rsidR="00000000" w:rsidRPr="00000000">
        <w:rPr>
          <w:rFonts w:ascii="Times New Roman" w:cs="Times New Roman" w:eastAsia="Times New Roman" w:hAnsi="Times New Roman"/>
          <w:b w:val="0"/>
          <w:bCs w:val="0"/>
          <w:sz w:val="28"/>
          <w:szCs w:val="28"/>
          <w:rtl w:val="0"/>
        </w:rPr>
        <w:t xml:space="preserve">4810137200:10:016:0037, зареєстрованого в реєстрі речових прав на нерухоме майно, </w:t>
      </w:r>
      <w:r w:rsidDel="00000000" w:rsidR="00000000" w:rsidRPr="00000000">
        <w:rPr>
          <w:rFonts w:ascii="Times New Roman" w:cs="Times New Roman" w:eastAsia="Times New Roman" w:hAnsi="Times New Roman"/>
          <w:sz w:val="28"/>
          <w:szCs w:val="28"/>
          <w:rtl w:val="0"/>
        </w:rPr>
        <w:t xml:space="preserve">реєстраційний номер об’єкта нерухомого майна: 2342395848101, номер відомостей про речове право: 41608754 від 12.03.2020, </w:t>
      </w:r>
      <w:r w:rsidDel="00000000" w:rsidR="00000000" w:rsidRPr="00000000">
        <w:rPr>
          <w:rFonts w:ascii="Times New Roman" w:cs="Times New Roman" w:eastAsia="Times New Roman" w:hAnsi="Times New Roman"/>
          <w:b w:val="0"/>
          <w:bCs w:val="0"/>
          <w:sz w:val="28"/>
          <w:szCs w:val="28"/>
          <w:rtl w:val="0"/>
        </w:rPr>
        <w:t xml:space="preserve">яка утворилась у результаті поділу земельної ділянки з кадастровим номером 4810137200:10:016:0019</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0"/>
          <w:bCs w:val="0"/>
          <w:sz w:val="28"/>
          <w:szCs w:val="28"/>
          <w:rtl w:val="0"/>
        </w:rPr>
        <w:t xml:space="preserve">загальною </w:t>
      </w:r>
      <w:r w:rsidDel="00000000" w:rsidR="00000000" w:rsidRPr="00000000">
        <w:rPr>
          <w:rFonts w:ascii="Times New Roman" w:cs="Times New Roman" w:eastAsia="Times New Roman" w:hAnsi="Times New Roman"/>
          <w:sz w:val="28"/>
          <w:szCs w:val="28"/>
          <w:rtl w:val="0"/>
        </w:rPr>
        <w:t xml:space="preserve">площею </w:t>
      </w:r>
      <w:r w:rsidDel="00000000" w:rsidR="00000000" w:rsidRPr="00000000">
        <w:rPr>
          <w:rFonts w:ascii="Times New Roman" w:cs="Times New Roman" w:eastAsia="Times New Roman" w:hAnsi="Times New Roman"/>
          <w:b w:val="0"/>
          <w:bCs w:val="0"/>
          <w:sz w:val="28"/>
          <w:szCs w:val="28"/>
          <w:rtl w:val="0"/>
        </w:rPr>
        <w:t xml:space="preserve">22705 кв.м</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розташованої за адресою: вул. Одеське шосе, 88 у Центральному районі м. Миколаєва.</w:t>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п. «а» ч. 1 ст. 141 Земельного кодексу України, ст. 31 Закону України «Про оренду землі», інформація з Державного реєстру речових прав на нерухоме майно реєстраційний номер об’єкта нерухомого майна 2342395848101, номер запису про інше речове право 41608754 від 12.03.2020, вид іншого речового права - право оренди, орендар ТОВ «НІК ІНВЕСТБУД»; нотаріальна згода ТОВ «НІК ІНВЕСТБУД» щодо відмови від права одноосібного користування земельною ділянкою по вул. Одеське шосе, 88 та згода на поділ земельної ділянки між іншими власниками нерухомого майна, що розташоване на вищезазначеній земельній ділянці, зареєстрована в реєстрі за №1170 від 26.03.2001.</w:t>
      </w:r>
    </w:p>
    <w:p w:rsidR="00000000" w:rsidDel="00000000" w:rsidP="00000000" w:rsidRDefault="00000000" w:rsidRPr="00000000" w14:paraId="00000012">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Передати Головному управлінню Держгеокадастру у Миколаївській області земельну ділянку загальною площею 403 кв.м з кадастровим номером 4810137200:10:016:0037 в постійне користування для обслуговування будівлі органу державної влади за адресою: вул. Одеське шосе, 88А у Центральному районі м. Миколаєва (право державної власності на нерухоме майно згідно з витягом з Державного реєстру речових прав на нерухоме майно, реєстраційний номер об’єкта нерухомого майна: 1957579048101, номер відомостей про речове право: 34079605 від 07.11.2019), відповідно до висновку департаменту архітектури та містобудування Миколаївської міської ради від 12.05.2025 </w:t>
        <w:br w:type="textWrapping"/>
        <w:t xml:space="preserve">№ 26173/12.01-17/25-2.</w:t>
      </w:r>
    </w:p>
    <w:p w:rsidR="00000000" w:rsidDel="00000000" w:rsidP="00000000" w:rsidRDefault="00000000" w:rsidRPr="00000000" w14:paraId="0000001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Передати із земель комунальної власності в державну власність за актом приймання-передачі земельну ділянку загальною площею 403 кв.м, кадастровий номер 4810137200:10:016:0037, для обслуговування будівлі органу державної влади за адресою: вул. Одеське шосе, 88А у Центральному районі м. Миколаєва, для оформлення речових прав держави на земельну ділянку, на якій розташована будівля органу державної влади.</w:t>
      </w:r>
    </w:p>
    <w:p w:rsidR="00000000" w:rsidDel="00000000" w:rsidP="00000000" w:rsidRDefault="00000000" w:rsidRPr="00000000" w14:paraId="00000016">
      <w:pPr>
        <w:widowControl w:val="0"/>
        <w:tabs>
          <w:tab w:val="left" w:leader="none" w:pos="2243"/>
          <w:tab w:val="left" w:leader="none" w:pos="2801"/>
          <w:tab w:val="left" w:leader="none" w:pos="4826"/>
          <w:tab w:val="left" w:leader="none" w:pos="6282"/>
        </w:tabs>
        <w:spacing w:line="240" w:lineRule="auto"/>
        <w:ind w:right="-18"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17">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ч.13 ст.123 Земельного кодексу України, ст.117 Земельного кодексу України.</w:t>
      </w:r>
    </w:p>
    <w:p w:rsidR="00000000" w:rsidDel="00000000" w:rsidP="00000000" w:rsidRDefault="00000000" w:rsidRPr="00000000" w14:paraId="00000019">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sz w:val="28"/>
          <w:szCs w:val="28"/>
          <w:highlight w:val="white"/>
          <w:rtl w:val="0"/>
        </w:rPr>
        <w:t xml:space="preserve"> (Нестеренко</w:t>
      </w:r>
      <w:r w:rsidDel="00000000" w:rsidR="00000000" w:rsidRPr="00000000">
        <w:rPr>
          <w:rFonts w:ascii="Times New Roman" w:cs="Times New Roman" w:eastAsia="Times New Roman" w:hAnsi="Times New Roman"/>
          <w:sz w:val="28"/>
          <w:szCs w:val="28"/>
          <w:rtl w:val="0"/>
        </w:rPr>
        <w:t xml:space="preserve">), заступника міського голови Андрієнка Ю.Г.</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widowControl w:val="0"/>
        <w:tabs>
          <w:tab w:val="left" w:leader="none" w:pos="7615"/>
        </w:tabs>
        <w:spacing w:line="240" w:lineRule="auto"/>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tabs>
          <w:tab w:val="left" w:leader="none" w:pos="76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w:t>
        <w:tab/>
        <w:t xml:space="preserve">  О. СЄНКЕВИЧ</w:t>
      </w:r>
    </w:p>
    <w:sectPr>
      <w:headerReference r:id="rId6" w:type="default"/>
      <w:pgSz w:h="16838" w:w="11905" w:orient="portrait"/>
      <w:pgMar w:bottom="1134" w:top="1134" w:left="1701" w:right="567" w:header="39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