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B88B08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CB1ED9">
        <w:rPr>
          <w:rFonts w:ascii="Times New Roman" w:eastAsia="Times New Roman" w:hAnsi="Times New Roman" w:cs="Times New Roman"/>
          <w:color w:val="000000"/>
          <w:sz w:val="28"/>
          <w:szCs w:val="28"/>
        </w:rPr>
        <w:t>306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2FF57D7C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BC454" w14:textId="4507B2E4" w:rsidR="00795B54" w:rsidRDefault="00795B54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6AFB7" w14:textId="66FEF99D" w:rsidR="00795B54" w:rsidRDefault="00795B54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AED40" w14:textId="77777777" w:rsidR="00795B54" w:rsidRDefault="00795B54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77777777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4FC1B45A" w:rsidR="00B34257" w:rsidRDefault="003079A9" w:rsidP="00D430B4">
      <w:pPr>
        <w:spacing w:after="0" w:line="3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ТОВ «НОРМА-ГРУП»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430B4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D430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в житловому будинку по вул. Соборній, 2/1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F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0000000D" w14:textId="77777777" w:rsidR="00B34257" w:rsidRDefault="00B34257" w:rsidP="00B01977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4BB00999" w:rsidR="00B34257" w:rsidRDefault="00161085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ТОВ «НОРМА-ГРУП»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29.01.2025</w:t>
      </w:r>
      <w:r w:rsidR="00743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3BD8" w:rsidRPr="00743BD8">
        <w:rPr>
          <w:rFonts w:ascii="Times New Roman" w:eastAsia="Times New Roman" w:hAnsi="Times New Roman" w:cs="Times New Roman"/>
          <w:sz w:val="28"/>
          <w:szCs w:val="28"/>
        </w:rPr>
        <w:t>19.04-06/3655/2025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799DD6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5674F4E9" w:rsidR="00B34257" w:rsidRDefault="00161085" w:rsidP="00215B3E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НОРМА-ГРУП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D430B4" w:rsidRPr="00D430B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4810137200:09:040:0002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13210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9646495"/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bookmarkEnd w:id="1"/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згідно із класифікацією видів цільового призначення </w:t>
      </w:r>
      <w:r w:rsidR="005C6515" w:rsidRPr="00211D36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17F49" w:rsidRPr="00211D36">
        <w:rPr>
          <w:rFonts w:ascii="Times New Roman" w:hAnsi="Times New Roman" w:cs="Times New Roman"/>
          <w:sz w:val="28"/>
          <w:szCs w:val="28"/>
        </w:rPr>
        <w:t xml:space="preserve"> </w:t>
      </w:r>
      <w:r w:rsidR="00211D36" w:rsidRPr="00211D36">
        <w:rPr>
          <w:rFonts w:ascii="Times New Roman" w:hAnsi="Times New Roman" w:cs="Times New Roman"/>
          <w:sz w:val="28"/>
          <w:szCs w:val="28"/>
        </w:rPr>
        <w:t>з</w:t>
      </w:r>
      <w:r w:rsidR="00211D36">
        <w:t xml:space="preserve">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795B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02.10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багатоквартирного житлового будинку з об'єктами торгово-розважальної та ринкової інфраструктури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ТОВ «НОРМА-ГРУП»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30.06.2010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7659 (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розмір ідеальної часки земельної ділянки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 xml:space="preserve">складає 286/10000, що 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>378</w:t>
      </w:r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11D36" w:rsidRPr="00211D3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11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</w:t>
      </w:r>
      <w:r w:rsidR="0040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7EC" w:rsidRPr="004077EC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077E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077EC" w:rsidRPr="004077EC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4077E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4077EC" w:rsidRPr="004077EC">
        <w:rPr>
          <w:rFonts w:ascii="Times New Roman" w:eastAsia="Times New Roman" w:hAnsi="Times New Roman" w:cs="Times New Roman"/>
          <w:sz w:val="28"/>
          <w:szCs w:val="28"/>
        </w:rPr>
        <w:t>в житловому будинку</w:t>
      </w:r>
      <w:r w:rsidR="004077EC">
        <w:rPr>
          <w:rFonts w:ascii="Times New Roman" w:eastAsia="Times New Roman" w:hAnsi="Times New Roman" w:cs="Times New Roman"/>
          <w:sz w:val="28"/>
          <w:szCs w:val="28"/>
        </w:rPr>
        <w:t xml:space="preserve"> по вул. Соборній, </w:t>
      </w:r>
      <w:r w:rsidR="004077EC" w:rsidRPr="004077EC">
        <w:rPr>
          <w:rFonts w:ascii="Times New Roman" w:eastAsia="Times New Roman" w:hAnsi="Times New Roman" w:cs="Times New Roman"/>
          <w:sz w:val="28"/>
          <w:szCs w:val="28"/>
        </w:rPr>
        <w:t>2/1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B3E" w:rsidRPr="00215B3E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САВ 847667, виданого 06.03.2008</w:t>
      </w:r>
      <w:r w:rsidR="00215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B3E" w:rsidRPr="00215B3E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B3E" w:rsidRPr="00215B3E">
        <w:rPr>
          <w:rFonts w:ascii="Times New Roman" w:eastAsia="Times New Roman" w:hAnsi="Times New Roman" w:cs="Times New Roman"/>
          <w:sz w:val="28"/>
          <w:szCs w:val="28"/>
        </w:rPr>
        <w:t>04.02.2025</w:t>
      </w:r>
      <w:r w:rsidR="00215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5B3E" w:rsidRPr="00215B3E">
        <w:rPr>
          <w:rFonts w:ascii="Times New Roman" w:eastAsia="Times New Roman" w:hAnsi="Times New Roman" w:cs="Times New Roman"/>
          <w:sz w:val="28"/>
          <w:szCs w:val="28"/>
        </w:rPr>
        <w:t xml:space="preserve">6713/12.02.18/25-2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79DAD" w14:textId="3782E4F0" w:rsidR="000378DB" w:rsidRDefault="000378DB" w:rsidP="00B01977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FA481" w14:textId="77777777" w:rsidR="00D430B4" w:rsidRPr="00D430B4" w:rsidRDefault="00D430B4" w:rsidP="00D430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0B4">
        <w:rPr>
          <w:rFonts w:ascii="Times New Roman" w:eastAsia="Times New Roman" w:hAnsi="Times New Roman" w:cs="Times New Roman"/>
          <w:sz w:val="28"/>
          <w:szCs w:val="28"/>
        </w:rPr>
        <w:t xml:space="preserve">2. Замовнику надати до департаменту з надання адміністративних  послуг Миколаївської міської ради розроблений </w:t>
      </w:r>
      <w:proofErr w:type="spellStart"/>
      <w:r w:rsidRPr="00D430B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430B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2136CCE5" w14:textId="77777777" w:rsidR="00D430B4" w:rsidRPr="00D430B4" w:rsidRDefault="00D430B4" w:rsidP="00D430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85BDA" w14:textId="4E5F3379" w:rsidR="00C02394" w:rsidRDefault="00D430B4" w:rsidP="00D430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0B4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63F481" w14:textId="25D31A1E" w:rsidR="00F90127" w:rsidRDefault="00F90127" w:rsidP="00D430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DBFF3" w14:textId="77777777" w:rsidR="00D430B4" w:rsidRDefault="00D430B4" w:rsidP="00D430B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795B54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659A" w14:textId="77777777" w:rsidR="00A55563" w:rsidRDefault="00A55563" w:rsidP="00795B54">
      <w:pPr>
        <w:spacing w:after="0" w:line="240" w:lineRule="auto"/>
      </w:pPr>
      <w:r>
        <w:separator/>
      </w:r>
    </w:p>
  </w:endnote>
  <w:endnote w:type="continuationSeparator" w:id="0">
    <w:p w14:paraId="44646913" w14:textId="77777777" w:rsidR="00A55563" w:rsidRDefault="00A55563" w:rsidP="0079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CEC1" w14:textId="77777777" w:rsidR="00A55563" w:rsidRDefault="00A55563" w:rsidP="00795B54">
      <w:pPr>
        <w:spacing w:after="0" w:line="240" w:lineRule="auto"/>
      </w:pPr>
      <w:r>
        <w:separator/>
      </w:r>
    </w:p>
  </w:footnote>
  <w:footnote w:type="continuationSeparator" w:id="0">
    <w:p w14:paraId="01930416" w14:textId="77777777" w:rsidR="00A55563" w:rsidRDefault="00A55563" w:rsidP="0079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801411"/>
      <w:docPartObj>
        <w:docPartGallery w:val="Page Numbers (Top of Page)"/>
        <w:docPartUnique/>
      </w:docPartObj>
    </w:sdtPr>
    <w:sdtContent>
      <w:p w14:paraId="29DC404A" w14:textId="34A414B0" w:rsidR="00795B54" w:rsidRDefault="00795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6C61A0A" w14:textId="77777777" w:rsidR="00795B54" w:rsidRDefault="00795B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A7B1A"/>
    <w:rsid w:val="001E5098"/>
    <w:rsid w:val="001F790F"/>
    <w:rsid w:val="00211D36"/>
    <w:rsid w:val="00215B3E"/>
    <w:rsid w:val="002A0189"/>
    <w:rsid w:val="002A2F2A"/>
    <w:rsid w:val="003079A9"/>
    <w:rsid w:val="004077EC"/>
    <w:rsid w:val="00492ECC"/>
    <w:rsid w:val="004F4495"/>
    <w:rsid w:val="00571F2B"/>
    <w:rsid w:val="005A7D4D"/>
    <w:rsid w:val="005C4F45"/>
    <w:rsid w:val="005C6515"/>
    <w:rsid w:val="00613EAD"/>
    <w:rsid w:val="00624BF1"/>
    <w:rsid w:val="006D17C9"/>
    <w:rsid w:val="006F2E60"/>
    <w:rsid w:val="00743BD8"/>
    <w:rsid w:val="0077649D"/>
    <w:rsid w:val="00795B54"/>
    <w:rsid w:val="007C5774"/>
    <w:rsid w:val="007F5F61"/>
    <w:rsid w:val="00857AB1"/>
    <w:rsid w:val="008B5441"/>
    <w:rsid w:val="009378E3"/>
    <w:rsid w:val="00A11774"/>
    <w:rsid w:val="00A55563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B1ED9"/>
    <w:rsid w:val="00CE0F29"/>
    <w:rsid w:val="00D430B4"/>
    <w:rsid w:val="00D529DB"/>
    <w:rsid w:val="00D968AA"/>
    <w:rsid w:val="00DA02D6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B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B54"/>
  </w:style>
  <w:style w:type="paragraph" w:styleId="a8">
    <w:name w:val="footer"/>
    <w:basedOn w:val="a"/>
    <w:link w:val="a9"/>
    <w:uiPriority w:val="99"/>
    <w:unhideWhenUsed/>
    <w:rsid w:val="00795B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57</cp:revision>
  <cp:lastPrinted>2025-02-21T12:37:00Z</cp:lastPrinted>
  <dcterms:created xsi:type="dcterms:W3CDTF">2023-01-10T14:45:00Z</dcterms:created>
  <dcterms:modified xsi:type="dcterms:W3CDTF">2025-02-21T12:37:00Z</dcterms:modified>
</cp:coreProperties>
</file>