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p42hxtig4d8f" w:id="0"/>
      <w:bookmarkEnd w:id="0"/>
      <w:r w:rsidDel="00000000" w:rsidR="00000000" w:rsidRPr="00000000">
        <w:rPr>
          <w:rFonts w:ascii="Times New Roman" w:cs="Times New Roman" w:eastAsia="Times New Roman" w:hAnsi="Times New Roman"/>
          <w:sz w:val="28"/>
          <w:szCs w:val="28"/>
          <w:rtl w:val="0"/>
        </w:rPr>
        <w:t xml:space="preserve">s-zr-210/570</w:t>
        <w:tab/>
        <w:tab/>
        <w:t xml:space="preserve">22.01.2026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line="400" w:lineRule="auto"/>
        <w:ind w:left="1610" w:right="-139" w:firstLine="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spacing w:line="360" w:lineRule="auto"/>
        <w:ind w:right="-280"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передачу в оренду ТОВ БКП «ГРАНД ПАРК» земельної ділянки (кадастровий номер 4810137200:15:004:0048) для завершення будівництва житлового будинку по просп. Героїв України, 11-б у Центральному районі м. Миколаєва»</w:t>
      </w:r>
    </w:p>
    <w:p w:rsidR="00000000" w:rsidDel="00000000" w:rsidP="00000000" w:rsidRDefault="00000000" w:rsidRPr="00000000" w14:paraId="00000005">
      <w:pPr>
        <w:widowControl w:val="0"/>
        <w:tabs>
          <w:tab w:val="left" w:leader="none" w:pos="1308"/>
          <w:tab w:val="left" w:leader="none" w:pos="3039"/>
          <w:tab w:val="left" w:leader="none" w:pos="4745"/>
        </w:tabs>
        <w:spacing w:line="360" w:lineRule="auto"/>
        <w:ind w:right="-280" w:firstLine="72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36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36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360" w:lineRule="auto"/>
        <w:ind w:right="-139" w:firstLine="720"/>
        <w:jc w:val="both"/>
        <w:rPr>
          <w:rFonts w:ascii="Times New Roman" w:cs="Times New Roman" w:eastAsia="Times New Roman" w:hAnsi="Times New Roman"/>
          <w:sz w:val="28"/>
          <w:szCs w:val="28"/>
        </w:rPr>
      </w:pPr>
      <w:bookmarkStart w:colFirst="0" w:colLast="0" w:name="_uaafdjljrcr" w:id="1"/>
      <w:bookmarkEnd w:id="1"/>
      <w:r w:rsidDel="00000000" w:rsidR="00000000" w:rsidRPr="00000000">
        <w:rPr>
          <w:rFonts w:ascii="Times New Roman" w:cs="Times New Roman" w:eastAsia="Times New Roman" w:hAnsi="Times New Roman"/>
          <w:sz w:val="28"/>
          <w:szCs w:val="28"/>
          <w:rtl w:val="0"/>
        </w:rPr>
        <w:t xml:space="preserve">Розглянувши звернення ТОВ БКП «ГРАНД ПАРК», дозвільну справу від 09.12.2021 № 23001-000549764-007-03,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в оренду ТОВ БКП «ГРАНД ПАРК» земельної ділянки (кадастровий номер 4810137200:15:004:0048) для завершення будівництва житлового будинку по просп. Героїв України, 11-б у Центральному районі м. Миколаєва» для винесення на сесію міської ради.</w:t>
      </w:r>
    </w:p>
    <w:p w:rsidR="00000000" w:rsidDel="00000000" w:rsidP="00000000" w:rsidRDefault="00000000" w:rsidRPr="00000000" w14:paraId="0000000A">
      <w:pPr>
        <w:spacing w:line="360" w:lineRule="auto"/>
        <w:ind w:firstLine="720"/>
        <w:jc w:val="both"/>
        <w:rPr>
          <w:rFonts w:ascii="Times New Roman" w:cs="Times New Roman" w:eastAsia="Times New Roman" w:hAnsi="Times New Roman"/>
          <w:sz w:val="28"/>
          <w:szCs w:val="28"/>
        </w:rPr>
      </w:pPr>
      <w:bookmarkStart w:colFirst="0" w:colLast="0" w:name="_f7smezqu1m71"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Передати ТОВ БКП «ГРАНД ПАРК» в оренду на 10 років земельну ділянку (кадастровий номер 4810137200:15:004:0048) площею 7240 кв.м, яка перебувала в оренді відповідно до договору оренди землі від 12.11.2018 № 11506, з цільовим призначенням згідно із класифікацією видів цільового призначення земель:</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02.03 – для будівництва і обслуговування багатоквартирного житлового будинку, для завершення будівництва житлового будинку по просп. Героїв України, 11-б, згідно з витягом з Державного реєстру речових прав на нерухоме майно право власності зареєстровано на підставі договору купівлі-продажу № 1184, виданого 16.10.2007, відповідно до висновку департаменту архітектури та містобудування Миколаївської міської ради від 04.12.2025 № 69593/12.02-13/25-2 (забудована земельна ділянка).</w:t>
      </w:r>
    </w:p>
    <w:p w:rsidR="00000000" w:rsidDel="00000000" w:rsidP="00000000" w:rsidRDefault="00000000" w:rsidRPr="00000000" w14:paraId="0000000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Пропозиції юридичного департаменту Миколаївської міської ради від 22.01.2026 №4097/02.06.01.01-04/26-2 прийнято до відома.</w:t>
      </w:r>
    </w:p>
    <w:p w:rsidR="00000000" w:rsidDel="00000000" w:rsidP="00000000" w:rsidRDefault="00000000" w:rsidRPr="00000000" w14:paraId="0000000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Землекористувачу:</w:t>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оренди землі;</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0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widowControl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8">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9">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268"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