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318vnmpi6acm" w:id="0"/>
      <w:bookmarkEnd w:id="0"/>
      <w:r w:rsidDel="00000000" w:rsidR="00000000" w:rsidRPr="00000000">
        <w:rPr>
          <w:rFonts w:ascii="Times New Roman" w:cs="Times New Roman" w:eastAsia="Times New Roman" w:hAnsi="Times New Roman"/>
          <w:sz w:val="28"/>
          <w:szCs w:val="28"/>
          <w:rtl w:val="0"/>
        </w:rPr>
        <w:t xml:space="preserve">s-zr-210/499</w:t>
        <w:tab/>
        <w:tab/>
        <w:t xml:space="preserve">15.12.2025 оновлена редакція</w:t>
      </w:r>
    </w:p>
    <w:p w:rsidR="00000000" w:rsidDel="00000000" w:rsidP="00000000" w:rsidRDefault="00000000" w:rsidRPr="00000000" w14:paraId="00000002">
      <w:pPr>
        <w:widowControl w:val="0"/>
        <w:tabs>
          <w:tab w:val="left" w:leader="none" w:pos="7661"/>
        </w:tabs>
        <w:spacing w:line="240" w:lineRule="auto"/>
        <w:ind w:left="7070" w:right="-139" w:hanging="707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7661"/>
        </w:tabs>
        <w:spacing w:line="240" w:lineRule="auto"/>
        <w:ind w:left="7070" w:right="-139" w:hanging="707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widowControl w:val="0"/>
        <w:spacing w:line="440" w:lineRule="auto"/>
        <w:ind w:right="-139" w:firstLine="72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line="240" w:lineRule="auto"/>
        <w:ind w:right="-13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03030"/>
          <w:sz w:val="28"/>
          <w:szCs w:val="28"/>
          <w:rtl w:val="0"/>
        </w:rPr>
        <w:t xml:space="preserve">«</w:t>
      </w:r>
      <w:r w:rsidDel="00000000" w:rsidR="00000000" w:rsidRPr="00000000">
        <w:rPr>
          <w:rFonts w:ascii="Times New Roman" w:cs="Times New Roman" w:eastAsia="Times New Roman" w:hAnsi="Times New Roman"/>
          <w:sz w:val="28"/>
          <w:szCs w:val="28"/>
          <w:rtl w:val="0"/>
        </w:rPr>
        <w:t xml:space="preserve">Про передачу в оренду ТОВ «ТОРГОВИЙ ДІМ «ГЄНІКС-ПІВДЕНЬ» земельної ділянки (кадастровий номер 4810136600:07:008:0017) для розміщення та подальшого обслуговування автопарковки з господарськими приміщеннями по пр. Богоявленському, 311/2 в Корабельному районі м. Миколаєва (забудована земельна ділянка)»</w:t>
      </w:r>
    </w:p>
    <w:p w:rsidR="00000000" w:rsidDel="00000000" w:rsidP="00000000" w:rsidRDefault="00000000" w:rsidRPr="00000000" w14:paraId="00000008">
      <w:pPr>
        <w:spacing w:line="440" w:lineRule="auto"/>
        <w:ind w:right="-139"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B">
      <w:pPr>
        <w:widowControl w:val="0"/>
        <w:spacing w:line="4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C">
      <w:pPr>
        <w:spacing w:line="240" w:lineRule="auto"/>
        <w:ind w:right="-139"/>
        <w:jc w:val="both"/>
        <w:rPr>
          <w:rFonts w:ascii="Times New Roman" w:cs="Times New Roman" w:eastAsia="Times New Roman" w:hAnsi="Times New Roman"/>
          <w:sz w:val="28"/>
          <w:szCs w:val="28"/>
        </w:rPr>
      </w:pPr>
      <w:bookmarkStart w:colFirst="0" w:colLast="0" w:name="_2tvwsrh0alz1" w:id="1"/>
      <w:bookmarkEnd w:id="1"/>
      <w:r w:rsidDel="00000000" w:rsidR="00000000" w:rsidRPr="00000000">
        <w:rPr>
          <w:rFonts w:ascii="Times New Roman" w:cs="Times New Roman" w:eastAsia="Times New Roman" w:hAnsi="Times New Roman"/>
          <w:sz w:val="28"/>
          <w:szCs w:val="28"/>
          <w:rtl w:val="0"/>
        </w:rPr>
        <w:t xml:space="preserve">Розглянувши звернення ТОВ «ТОРГОВИЙ ДІМ «ГЄНІКС-ПІВДЕНЬ», дозвільну справу від 02.11.2018 № 000711, дозвільну справу від 04.07.2025 № 19.04-06/35725/2025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ТОВ «ТОРГОВИЙ ДІМ «ГЄНІКС-ПІВДЕНЬ» земельної ділянки (кадастровий номер 4810136600:07:008:0017) для розміщення та подальшого обслуговування автопарковки з господарськими приміщеннями по пр. Богоявленському, 311/2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D">
      <w:pPr>
        <w:spacing w:line="4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Передати ТОВ «ТОРГОВИЙ ДІМ «ГЄНІКС-ПІВДЕНЬ» в оренду на 10 років земельну ділянку (кадастровий номер –4810136600:07:008:0017) площею 441 кв.м, з цільовим призначенням згідно із класифікацією видів цільового призначення земель: 03.07 - для будівництва та обслуговування будівель торгівлі, для розміщення та подальшого обслуговування автопарковки з господарськими приміщеннями по пр. Богоявленському, 311/2 в Корабельному районі м. Миколаєва (право власності на нерухоме майно згідно з витягом про Державну реєстрацію прав, реєстраційний номер об’єкта нерухомого майна: 1589582948101, номер відомостей про речове право: 26874480 від 25.06.2018 зареєстровано на підставі технічного паспорта, серія та номер: б/н, виданого 21.06.2018, свідоцтва про право власності на нерухоме майно, серія та номер: б/н, виданого 14.12.2012), відповідно до висновку департаменту архітектури та містобудування Миколаївської міської ради від 30.07.2025 </w:t>
        <w:br w:type="textWrapping"/>
        <w:t xml:space="preserve">№ 42221/12.02-13/25-2 (забудована земельна ділянка).</w:t>
      </w:r>
    </w:p>
    <w:p w:rsidR="00000000" w:rsidDel="00000000" w:rsidP="00000000" w:rsidRDefault="00000000" w:rsidRPr="00000000" w14:paraId="0000000E">
      <w:pPr>
        <w:widowControl w:val="0"/>
        <w:spacing w:line="440" w:lineRule="auto"/>
        <w:ind w:right="14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4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Землекористувачу:</w:t>
      </w:r>
    </w:p>
    <w:p w:rsidR="00000000" w:rsidDel="00000000" w:rsidP="00000000" w:rsidRDefault="00000000" w:rsidRPr="00000000" w14:paraId="00000010">
      <w:pPr>
        <w:spacing w:line="4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11">
      <w:pPr>
        <w:tabs>
          <w:tab w:val="left" w:leader="none" w:pos="9214"/>
        </w:tabs>
        <w:spacing w:line="440" w:lineRule="auto"/>
        <w:ind w:right="281"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tabs>
          <w:tab w:val="left" w:leader="none" w:pos="9214"/>
        </w:tabs>
        <w:spacing w:line="440" w:lineRule="auto"/>
        <w:ind w:right="281"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3">
      <w:pPr>
        <w:tabs>
          <w:tab w:val="left" w:leader="none" w:pos="9214"/>
        </w:tabs>
        <w:spacing w:line="440" w:lineRule="auto"/>
        <w:ind w:right="281"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Пропозиції юридичного департаменту Миколаївської міської ради від 15.12.2025 №71872/02.06.01.01-04/25-2 прийняті до відома.</w:t>
      </w:r>
    </w:p>
    <w:p w:rsidR="00000000" w:rsidDel="00000000" w:rsidP="00000000" w:rsidRDefault="00000000" w:rsidRPr="00000000" w14:paraId="00000014">
      <w:pPr>
        <w:spacing w:line="4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spacing w:line="4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spacing w:line="4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widowControl w:val="0"/>
        <w:spacing w:line="40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widowControl w:val="0"/>
        <w:spacing w:line="3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widowControl w:val="0"/>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B">
      <w:pPr>
        <w:spacing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C">
      <w:pPr>
        <w:spacing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1418" w:top="568"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