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780DB038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4770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6D4F01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64405B25" w:rsidR="00995385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3F591CE" w14:textId="77777777" w:rsidR="00154BE9" w:rsidRPr="009153EE" w:rsidRDefault="00154BE9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246D785D" w:rsidR="00B93301" w:rsidRPr="00E21A50" w:rsidRDefault="00E5634C" w:rsidP="00E21A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>Єфіск</w:t>
      </w:r>
      <w:r w:rsidR="0074770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Павловичу земельної ділянки (кадастровий номер </w:t>
      </w:r>
      <w:r w:rsidR="00747703" w:rsidRPr="00AF06C0">
        <w:rPr>
          <w:rFonts w:ascii="Times New Roman" w:eastAsia="TimesNewRomanPSMT" w:hAnsi="Times New Roman" w:cs="Times New Roman"/>
          <w:sz w:val="28"/>
          <w:szCs w:val="28"/>
        </w:rPr>
        <w:t>4810136600:11:018:0005</w:t>
      </w:r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47703" w:rsidRPr="00AF06C0">
        <w:rPr>
          <w:rFonts w:ascii="Times New Roman" w:hAnsi="Times New Roman" w:cs="Times New Roman"/>
          <w:sz w:val="28"/>
          <w:szCs w:val="28"/>
        </w:rPr>
        <w:t>вул.</w:t>
      </w:r>
      <w:r w:rsidR="00747703">
        <w:rPr>
          <w:rFonts w:ascii="Times New Roman" w:hAnsi="Times New Roman" w:cs="Times New Roman"/>
          <w:sz w:val="28"/>
          <w:szCs w:val="28"/>
        </w:rPr>
        <w:t> </w:t>
      </w:r>
      <w:r w:rsidR="00747703" w:rsidRPr="00AF06C0">
        <w:rPr>
          <w:rFonts w:ascii="Times New Roman" w:hAnsi="Times New Roman" w:cs="Times New Roman"/>
          <w:sz w:val="28"/>
          <w:szCs w:val="28"/>
        </w:rPr>
        <w:t>Миколи Хвильового, 2-Б (вул.</w:t>
      </w:r>
      <w:r w:rsidR="00747703">
        <w:rPr>
          <w:rFonts w:ascii="Times New Roman" w:hAnsi="Times New Roman" w:cs="Times New Roman"/>
          <w:sz w:val="28"/>
          <w:szCs w:val="28"/>
        </w:rPr>
        <w:t> </w:t>
      </w:r>
      <w:r w:rsidR="00747703" w:rsidRPr="00AF06C0">
        <w:rPr>
          <w:rFonts w:ascii="Times New Roman" w:hAnsi="Times New Roman" w:cs="Times New Roman"/>
          <w:sz w:val="28"/>
          <w:szCs w:val="28"/>
        </w:rPr>
        <w:t>Чернишевського) в Корабельному</w:t>
      </w:r>
      <w:r w:rsidR="00747703" w:rsidRPr="00AF06C0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3DB5FE3" w14:textId="77777777" w:rsidR="00CD2D2C" w:rsidRPr="006D4F01" w:rsidRDefault="00CD2D2C" w:rsidP="00C16513">
      <w:pPr>
        <w:pStyle w:val="a3"/>
        <w:ind w:left="0" w:firstLine="567"/>
      </w:pPr>
      <w:r w:rsidRPr="006D4F01">
        <w:t xml:space="preserve">Суб’єктом подання, доповідачем </w:t>
      </w:r>
      <w:proofErr w:type="spellStart"/>
      <w:r w:rsidRPr="006D4F01">
        <w:t>проєкту</w:t>
      </w:r>
      <w:proofErr w:type="spellEnd"/>
      <w:r w:rsidRPr="006D4F0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D4F01">
        <w:t>тел</w:t>
      </w:r>
      <w:proofErr w:type="spellEnd"/>
      <w:r w:rsidRPr="006D4F01">
        <w:t>. 37-02-71).</w:t>
      </w:r>
    </w:p>
    <w:p w14:paraId="21FA7277" w14:textId="77777777" w:rsidR="00CD2D2C" w:rsidRPr="006D4F01" w:rsidRDefault="00CD2D2C" w:rsidP="00C16513">
      <w:pPr>
        <w:pStyle w:val="a3"/>
        <w:ind w:left="0" w:firstLine="567"/>
      </w:pPr>
      <w:r w:rsidRPr="006D4F01">
        <w:t>Розробником</w:t>
      </w:r>
      <w:r w:rsidRPr="006D4F01">
        <w:rPr>
          <w:spacing w:val="1"/>
        </w:rPr>
        <w:t xml:space="preserve"> </w:t>
      </w:r>
      <w:r w:rsidRPr="006D4F01">
        <w:t>та</w:t>
      </w:r>
      <w:r w:rsidRPr="006D4F01">
        <w:rPr>
          <w:spacing w:val="1"/>
        </w:rPr>
        <w:t xml:space="preserve"> </w:t>
      </w:r>
      <w:r w:rsidRPr="006D4F01">
        <w:t>відповідальним</w:t>
      </w:r>
      <w:r w:rsidRPr="006D4F01">
        <w:rPr>
          <w:spacing w:val="71"/>
        </w:rPr>
        <w:t xml:space="preserve"> </w:t>
      </w:r>
      <w:r w:rsidRPr="006D4F01">
        <w:t>за</w:t>
      </w:r>
      <w:r w:rsidRPr="006D4F01">
        <w:rPr>
          <w:spacing w:val="71"/>
        </w:rPr>
        <w:t xml:space="preserve"> </w:t>
      </w:r>
      <w:r w:rsidRPr="006D4F01">
        <w:t>супровід</w:t>
      </w:r>
      <w:r w:rsidRPr="006D4F01">
        <w:rPr>
          <w:spacing w:val="71"/>
        </w:rPr>
        <w:t xml:space="preserve"> </w:t>
      </w:r>
      <w:proofErr w:type="spellStart"/>
      <w:r w:rsidRPr="006D4F01">
        <w:t>проєкту</w:t>
      </w:r>
      <w:proofErr w:type="spellEnd"/>
      <w:r w:rsidRPr="006D4F01">
        <w:rPr>
          <w:spacing w:val="1"/>
        </w:rPr>
        <w:t xml:space="preserve"> </w:t>
      </w:r>
      <w:r w:rsidRPr="006D4F0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D4F01">
        <w:rPr>
          <w:spacing w:val="1"/>
        </w:rPr>
        <w:t xml:space="preserve"> </w:t>
      </w:r>
      <w:r w:rsidRPr="006D4F01">
        <w:t>Платонова Юрія Михайловича,</w:t>
      </w:r>
      <w:r w:rsidRPr="006D4F01">
        <w:rPr>
          <w:spacing w:val="1"/>
        </w:rPr>
        <w:t xml:space="preserve"> </w:t>
      </w:r>
      <w:r w:rsidRPr="006D4F0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D4F01">
        <w:rPr>
          <w:spacing w:val="-3"/>
        </w:rPr>
        <w:t xml:space="preserve"> </w:t>
      </w:r>
      <w:r w:rsidRPr="006D4F01">
        <w:t>Миколаїв,</w:t>
      </w:r>
      <w:r w:rsidRPr="006D4F01">
        <w:rPr>
          <w:spacing w:val="-3"/>
        </w:rPr>
        <w:t xml:space="preserve"> </w:t>
      </w:r>
      <w:r w:rsidRPr="006D4F01">
        <w:t>вул.</w:t>
      </w:r>
      <w:r w:rsidRPr="006D4F01">
        <w:rPr>
          <w:spacing w:val="-3"/>
        </w:rPr>
        <w:t xml:space="preserve"> </w:t>
      </w:r>
      <w:r w:rsidRPr="006D4F01">
        <w:t>Адміральська,</w:t>
      </w:r>
      <w:r w:rsidRPr="006D4F01">
        <w:rPr>
          <w:spacing w:val="-4"/>
        </w:rPr>
        <w:t xml:space="preserve"> </w:t>
      </w:r>
      <w:r w:rsidRPr="006D4F01">
        <w:t>20,</w:t>
      </w:r>
      <w:r w:rsidRPr="006D4F01">
        <w:rPr>
          <w:spacing w:val="-2"/>
        </w:rPr>
        <w:t xml:space="preserve"> </w:t>
      </w:r>
      <w:r w:rsidRPr="006D4F01">
        <w:t>тел.37-32-35).</w:t>
      </w:r>
    </w:p>
    <w:p w14:paraId="7DF677F5" w14:textId="77777777" w:rsidR="00747703" w:rsidRPr="006D4F01" w:rsidRDefault="008B7376" w:rsidP="0074770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D4F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D4F0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D4F0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D4F01">
        <w:rPr>
          <w:rFonts w:ascii="Times New Roman" w:hAnsi="Times New Roman" w:cs="Times New Roman"/>
          <w:sz w:val="28"/>
          <w:szCs w:val="28"/>
        </w:rPr>
        <w:t xml:space="preserve"> 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D4F0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D4F0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D4F0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D4F0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D4F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6F010" w14:textId="77777777" w:rsidR="00E21A50" w:rsidRDefault="00747703" w:rsidP="0074770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F01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6D4F01">
        <w:rPr>
          <w:rFonts w:ascii="Times New Roman" w:hAnsi="Times New Roman" w:cs="Times New Roman"/>
          <w:color w:val="000000"/>
          <w:sz w:val="28"/>
          <w:szCs w:val="28"/>
        </w:rPr>
        <w:t>Єфіска</w:t>
      </w:r>
      <w:proofErr w:type="spellEnd"/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Володимира Павловича</w:t>
      </w:r>
      <w:r w:rsidRPr="006D4F0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>09.01.2025 № 19.04-06/527/2025</w:t>
      </w:r>
      <w:r w:rsidR="00D06681" w:rsidRPr="006D4F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6D4F0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D4F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D4F0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D4F0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ради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з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«Про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«Про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D4F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>в</w:t>
      </w:r>
      <w:r w:rsidR="0042597A" w:rsidRPr="006D4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D4F0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D4F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D4F0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D4F0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6D4F01">
        <w:rPr>
          <w:rFonts w:ascii="Times New Roman" w:hAnsi="Times New Roman" w:cs="Times New Roman"/>
          <w:color w:val="000000"/>
          <w:sz w:val="28"/>
          <w:szCs w:val="28"/>
        </w:rPr>
        <w:t>Єфіску</w:t>
      </w:r>
      <w:proofErr w:type="spellEnd"/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Павловичу земельної ділянки (кадастровий номер </w:t>
      </w:r>
      <w:r w:rsidRPr="006D4F01">
        <w:rPr>
          <w:rFonts w:ascii="Times New Roman" w:eastAsia="TimesNewRomanPSMT" w:hAnsi="Times New Roman" w:cs="Times New Roman"/>
          <w:sz w:val="28"/>
          <w:szCs w:val="28"/>
        </w:rPr>
        <w:t>4810136600:11:018:0005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D4F0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5C1A49D" w14:textId="77777777" w:rsidR="00E21A50" w:rsidRDefault="00E21A50" w:rsidP="0074770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599F97" w14:textId="77777777" w:rsidR="00E21A50" w:rsidRDefault="00E21A50" w:rsidP="00E21A5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D0360" w14:textId="6F7B397F" w:rsidR="00CD4DFD" w:rsidRPr="006D4F01" w:rsidRDefault="00747703" w:rsidP="00E21A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01">
        <w:rPr>
          <w:rFonts w:ascii="Times New Roman" w:hAnsi="Times New Roman" w:cs="Times New Roman"/>
          <w:sz w:val="28"/>
          <w:szCs w:val="28"/>
        </w:rPr>
        <w:lastRenderedPageBreak/>
        <w:t>вул. Миколи Хвильового, 2-Б (вул. Чернишевського) в Корабельному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977FE0" w:rsidRPr="006D4F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D4F0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D4F0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D4F0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19D938" w14:textId="77777777" w:rsidR="00747703" w:rsidRPr="006D4F01" w:rsidRDefault="00C31984" w:rsidP="00747703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F0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D4F01">
        <w:rPr>
          <w:rFonts w:ascii="Times New Roman" w:hAnsi="Times New Roman" w:cs="Times New Roman"/>
          <w:sz w:val="28"/>
          <w:szCs w:val="28"/>
        </w:rPr>
        <w:t>про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D4F01">
        <w:rPr>
          <w:rFonts w:ascii="Times New Roman" w:hAnsi="Times New Roman" w:cs="Times New Roman"/>
          <w:sz w:val="28"/>
          <w:szCs w:val="28"/>
        </w:rPr>
        <w:t>к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4F01">
        <w:rPr>
          <w:rFonts w:ascii="Times New Roman" w:hAnsi="Times New Roman" w:cs="Times New Roman"/>
          <w:sz w:val="28"/>
          <w:szCs w:val="28"/>
        </w:rPr>
        <w:t xml:space="preserve"> рі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D4F01">
        <w:rPr>
          <w:rFonts w:ascii="Times New Roman" w:hAnsi="Times New Roman" w:cs="Times New Roman"/>
          <w:sz w:val="28"/>
          <w:szCs w:val="28"/>
        </w:rPr>
        <w:t>е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hAnsi="Times New Roman" w:cs="Times New Roman"/>
          <w:sz w:val="28"/>
          <w:szCs w:val="28"/>
        </w:rPr>
        <w:t xml:space="preserve">я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hAnsi="Times New Roman" w:cs="Times New Roman"/>
          <w:sz w:val="28"/>
          <w:szCs w:val="28"/>
        </w:rPr>
        <w:t>ередбаче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D4F01">
        <w:rPr>
          <w:rFonts w:ascii="Times New Roman" w:hAnsi="Times New Roman" w:cs="Times New Roman"/>
          <w:sz w:val="28"/>
          <w:szCs w:val="28"/>
        </w:rPr>
        <w:t>«</w:t>
      </w:r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47703" w:rsidRPr="006D4F01">
        <w:rPr>
          <w:rFonts w:ascii="Times New Roman" w:eastAsia="TimesNewRomanPSMT" w:hAnsi="Times New Roman" w:cs="Times New Roman"/>
          <w:sz w:val="28"/>
          <w:szCs w:val="28"/>
        </w:rPr>
        <w:t>484</w:t>
      </w:r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47703" w:rsidRPr="006D4F01">
        <w:rPr>
          <w:rFonts w:ascii="Times New Roman" w:eastAsia="TimesNewRomanPSMT" w:hAnsi="Times New Roman" w:cs="Times New Roman"/>
          <w:sz w:val="28"/>
          <w:szCs w:val="28"/>
        </w:rPr>
        <w:t>4810136600:11:018:0005</w:t>
      </w:r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47703" w:rsidRPr="006D4F01">
        <w:rPr>
          <w:rFonts w:ascii="Times New Roman" w:hAnsi="Times New Roman" w:cs="Times New Roman"/>
          <w:sz w:val="28"/>
          <w:szCs w:val="28"/>
        </w:rPr>
        <w:t xml:space="preserve">вул. Миколи Хвильового, 2-Б (вул. Чернишевського) в Корабельному районі м. Миколаєва </w:t>
      </w:r>
      <w:r w:rsidR="00747703" w:rsidRPr="006D4F01">
        <w:rPr>
          <w:rFonts w:ascii="Times New Roman" w:hAnsi="Times New Roman" w:cs="Times New Roman"/>
          <w:color w:val="000000"/>
          <w:sz w:val="28"/>
          <w:szCs w:val="28"/>
        </w:rPr>
        <w:t>(забудована земельна ділянка).</w:t>
      </w:r>
    </w:p>
    <w:p w14:paraId="24AF1A87" w14:textId="77777777" w:rsidR="00747703" w:rsidRPr="006D4F01" w:rsidRDefault="00747703" w:rsidP="0074770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6D4F0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679D90F" w14:textId="0D2AF741" w:rsidR="00747703" w:rsidRPr="006D4F01" w:rsidRDefault="00747703" w:rsidP="0074770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6D4F01">
        <w:rPr>
          <w:rFonts w:ascii="Times New Roman" w:hAnsi="Times New Roman" w:cs="Times New Roman"/>
          <w:color w:val="000000"/>
          <w:sz w:val="28"/>
          <w:szCs w:val="28"/>
        </w:rPr>
        <w:t>Єфіску</w:t>
      </w:r>
      <w:proofErr w:type="spellEnd"/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Володимиру Павловичу у власність земельну ділянку (кадастровий номер </w:t>
      </w:r>
      <w:r w:rsidRPr="006D4F01">
        <w:rPr>
          <w:rFonts w:ascii="Times New Roman" w:eastAsia="TimesNewRomanPSMT" w:hAnsi="Times New Roman" w:cs="Times New Roman"/>
          <w:sz w:val="28"/>
          <w:szCs w:val="28"/>
        </w:rPr>
        <w:t>4810136600:11:018:0005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6D4F01">
        <w:rPr>
          <w:rFonts w:ascii="Times New Roman" w:eastAsia="TimesNewRomanPSMT" w:hAnsi="Times New Roman" w:cs="Times New Roman"/>
          <w:sz w:val="28"/>
          <w:szCs w:val="28"/>
        </w:rPr>
        <w:t>484 </w:t>
      </w:r>
      <w:proofErr w:type="spellStart"/>
      <w:r w:rsidRPr="006D4F0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6D4F0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6D4F01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6D4F01">
        <w:rPr>
          <w:rFonts w:ascii="Times New Roman" w:hAnsi="Times New Roman" w:cs="Times New Roman"/>
          <w:sz w:val="28"/>
          <w:szCs w:val="28"/>
        </w:rPr>
        <w:t>вул. Миколи Хвильового, 2-Б (вул. Чернишевського) в Корабельному районі м. Миколаєва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з витягом з Державного реєстру речових прав на нерухоме майно, індексний номер витягу: 33770709, номер запису про право власності: 8764624 від 17.02.2015, зареєстровано на підставі </w:t>
      </w:r>
      <w:r w:rsidRPr="006D4F01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 за заповітом, серія та номер: 335, виданого 17.02.2015), </w:t>
      </w:r>
      <w:r w:rsidRPr="006D4F0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6D4F01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6D4F01">
        <w:rPr>
          <w:rFonts w:ascii="Times New Roman" w:hAnsi="Times New Roman" w:cs="Times New Roman"/>
          <w:sz w:val="28"/>
          <w:szCs w:val="28"/>
        </w:rPr>
        <w:t>від 14.01.2025 № 2419/12.02.18/25-2.</w:t>
      </w:r>
    </w:p>
    <w:p w14:paraId="43D1926C" w14:textId="59650833" w:rsidR="00485313" w:rsidRPr="006D4F01" w:rsidRDefault="00485313" w:rsidP="0074770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01">
        <w:rPr>
          <w:rFonts w:ascii="Times New Roman" w:eastAsia="Times New Roman" w:hAnsi="Times New Roman" w:cs="Times New Roman"/>
          <w:sz w:val="28"/>
          <w:szCs w:val="28"/>
        </w:rPr>
        <w:t>2. З</w:t>
      </w:r>
      <w:r w:rsidR="00C63C8C">
        <w:rPr>
          <w:rFonts w:ascii="Times New Roman" w:eastAsia="Times New Roman" w:hAnsi="Times New Roman" w:cs="Times New Roman"/>
          <w:sz w:val="28"/>
          <w:szCs w:val="28"/>
        </w:rPr>
        <w:t>амовнику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AB4703" w14:textId="77777777" w:rsidR="00E21A50" w:rsidRPr="00EF0225" w:rsidRDefault="00E21A50" w:rsidP="00E21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225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0D00E1D" w14:textId="77777777" w:rsidR="00E21A50" w:rsidRPr="00EF0225" w:rsidRDefault="00E21A50" w:rsidP="00E21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225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BA4814" w14:textId="77777777" w:rsidR="00E21A50" w:rsidRPr="00EF0225" w:rsidRDefault="00E21A50" w:rsidP="00E21A5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225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209865B" w14:textId="1A2F00E6" w:rsidR="000721E1" w:rsidRPr="006D4F01" w:rsidRDefault="000721E1" w:rsidP="000721E1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Style w:val="dat0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D4F01">
        <w:rPr>
          <w:rFonts w:ascii="Times New Roman" w:hAnsi="Times New Roman" w:cs="Times New Roman"/>
          <w:sz w:val="28"/>
          <w:szCs w:val="28"/>
        </w:rPr>
        <w:t xml:space="preserve">Розглянувши пропозиції юридичного департаменту </w:t>
      </w:r>
      <w:r w:rsidR="00E21A50">
        <w:rPr>
          <w:rFonts w:ascii="Times New Roman" w:hAnsi="Times New Roman" w:cs="Times New Roman"/>
          <w:sz w:val="28"/>
          <w:szCs w:val="28"/>
        </w:rPr>
        <w:t xml:space="preserve">Миколаївської міської ради </w:t>
      </w:r>
      <w:r w:rsidRPr="006D4F01">
        <w:rPr>
          <w:rFonts w:ascii="Times New Roman" w:hAnsi="Times New Roman" w:cs="Times New Roman"/>
          <w:sz w:val="28"/>
          <w:szCs w:val="28"/>
        </w:rPr>
        <w:t xml:space="preserve">від </w:t>
      </w:r>
      <w:r w:rsidR="006D4F01" w:rsidRPr="006D4F01">
        <w:rPr>
          <w:rFonts w:ascii="Times New Roman" w:hAnsi="Times New Roman" w:cs="Times New Roman"/>
          <w:sz w:val="28"/>
          <w:szCs w:val="28"/>
        </w:rPr>
        <w:t xml:space="preserve">21.01.2025 </w:t>
      </w:r>
      <w:r w:rsidRPr="006D4F01">
        <w:rPr>
          <w:rFonts w:ascii="Times New Roman" w:hAnsi="Times New Roman" w:cs="Times New Roman"/>
          <w:sz w:val="28"/>
          <w:szCs w:val="28"/>
        </w:rPr>
        <w:t>№</w:t>
      </w:r>
      <w:r w:rsidR="006D4F01" w:rsidRPr="006D4F01">
        <w:rPr>
          <w:sz w:val="28"/>
          <w:szCs w:val="28"/>
        </w:rPr>
        <w:t xml:space="preserve"> </w:t>
      </w:r>
      <w:r w:rsidR="006D4F01" w:rsidRPr="006D4F01">
        <w:rPr>
          <w:rFonts w:ascii="Times New Roman" w:hAnsi="Times New Roman" w:cs="Times New Roman"/>
          <w:sz w:val="28"/>
          <w:szCs w:val="28"/>
        </w:rPr>
        <w:t>3896/02.06.01.01-04/25-2</w:t>
      </w:r>
      <w:r w:rsidRPr="006D4F01">
        <w:rPr>
          <w:rFonts w:ascii="Times New Roman" w:hAnsi="Times New Roman" w:cs="Times New Roman"/>
          <w:sz w:val="28"/>
          <w:szCs w:val="28"/>
        </w:rPr>
        <w:t xml:space="preserve">, інформуємо, що </w:t>
      </w:r>
      <w:r w:rsidRPr="006D4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</w:t>
      </w:r>
      <w:r w:rsidRPr="006D4F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6D4F01">
        <w:rPr>
          <w:rStyle w:val="dat0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08DF1A88" w14:textId="6CA7BA80" w:rsidR="000721E1" w:rsidRPr="006D4F01" w:rsidRDefault="000721E1" w:rsidP="000721E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01">
        <w:rPr>
          <w:rFonts w:ascii="Times New Roman" w:hAnsi="Times New Roman" w:cs="Times New Roman"/>
          <w:sz w:val="28"/>
          <w:szCs w:val="28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 w:rsidR="006D4F01" w:rsidRPr="006D4F01">
        <w:rPr>
          <w:rFonts w:ascii="Times New Roman" w:hAnsi="Times New Roman" w:cs="Times New Roman"/>
          <w:sz w:val="28"/>
          <w:szCs w:val="28"/>
        </w:rPr>
        <w:t>вул. Миколи Хвильового, 2-Б (вул. Чернишевського) в Корабельному районі м. Миколаєва</w:t>
      </w:r>
      <w:r w:rsidRPr="006D4F01">
        <w:rPr>
          <w:rFonts w:ascii="Times New Roman" w:hAnsi="Times New Roman" w:cs="Times New Roman"/>
          <w:sz w:val="28"/>
          <w:szCs w:val="28"/>
        </w:rPr>
        <w:t xml:space="preserve"> із суміжними землевласниками (землекористувачами), а саме оголошення в газеті «Південна правда» від </w:t>
      </w:r>
      <w:r w:rsidR="006D4F01" w:rsidRPr="006D4F01">
        <w:rPr>
          <w:rFonts w:ascii="Times New Roman" w:hAnsi="Times New Roman" w:cs="Times New Roman"/>
          <w:sz w:val="28"/>
          <w:szCs w:val="28"/>
        </w:rPr>
        <w:t>28</w:t>
      </w:r>
      <w:r w:rsidRPr="006D4F01">
        <w:rPr>
          <w:rFonts w:ascii="Times New Roman" w:hAnsi="Times New Roman" w:cs="Times New Roman"/>
          <w:sz w:val="28"/>
          <w:szCs w:val="28"/>
        </w:rPr>
        <w:t>.</w:t>
      </w:r>
      <w:r w:rsidR="006D4F01" w:rsidRPr="006D4F01">
        <w:rPr>
          <w:rFonts w:ascii="Times New Roman" w:hAnsi="Times New Roman" w:cs="Times New Roman"/>
          <w:sz w:val="28"/>
          <w:szCs w:val="28"/>
        </w:rPr>
        <w:t>11</w:t>
      </w:r>
      <w:r w:rsidRPr="006D4F01">
        <w:rPr>
          <w:rFonts w:ascii="Times New Roman" w:hAnsi="Times New Roman" w:cs="Times New Roman"/>
          <w:sz w:val="28"/>
          <w:szCs w:val="28"/>
        </w:rPr>
        <w:t xml:space="preserve">.2024, 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D4F01" w:rsidRPr="006D4F01">
        <w:rPr>
          <w:rFonts w:ascii="Times New Roman" w:eastAsia="Times New Roman" w:hAnsi="Times New Roman" w:cs="Times New Roman"/>
          <w:sz w:val="28"/>
          <w:szCs w:val="28"/>
        </w:rPr>
        <w:t>484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D4F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D4F01" w:rsidRPr="006D4F01">
        <w:rPr>
          <w:rFonts w:ascii="Times New Roman" w:eastAsia="TimesNewRomanPSMT" w:hAnsi="Times New Roman" w:cs="Times New Roman"/>
          <w:sz w:val="28"/>
          <w:szCs w:val="28"/>
        </w:rPr>
        <w:t>4810136600:11:018:0005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4F01">
        <w:rPr>
          <w:rFonts w:ascii="Times New Roman" w:hAnsi="Times New Roman" w:cs="Times New Roman"/>
          <w:sz w:val="28"/>
          <w:szCs w:val="28"/>
        </w:rPr>
        <w:t xml:space="preserve"> для будівництва і обслуговування житлового будинку, господарських будівель і споруд по </w:t>
      </w:r>
      <w:r w:rsidR="006D4F01" w:rsidRPr="006D4F01">
        <w:rPr>
          <w:rFonts w:ascii="Times New Roman" w:hAnsi="Times New Roman" w:cs="Times New Roman"/>
          <w:sz w:val="28"/>
          <w:szCs w:val="28"/>
        </w:rPr>
        <w:t>вул. Миколи Хвильового, 2-Б (вул. Чернишевського) в Корабельному районі м. Миколаєва</w:t>
      </w:r>
      <w:r w:rsidRPr="006D4F0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195E2EEB" w:rsidR="003B3830" w:rsidRPr="006D4F01" w:rsidRDefault="00064588" w:rsidP="00485313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01">
        <w:rPr>
          <w:rFonts w:ascii="Times New Roman" w:hAnsi="Times New Roman" w:cs="Times New Roman"/>
          <w:sz w:val="28"/>
          <w:szCs w:val="28"/>
        </w:rPr>
        <w:t>Кон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>ро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hAnsi="Times New Roman" w:cs="Times New Roman"/>
          <w:sz w:val="28"/>
          <w:szCs w:val="28"/>
        </w:rPr>
        <w:t xml:space="preserve">ь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hAnsi="Times New Roman" w:cs="Times New Roman"/>
          <w:sz w:val="28"/>
          <w:szCs w:val="28"/>
        </w:rPr>
        <w:t>а викона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hAnsi="Times New Roman" w:cs="Times New Roman"/>
          <w:sz w:val="28"/>
          <w:szCs w:val="28"/>
        </w:rPr>
        <w:t>ям да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>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hAnsi="Times New Roman" w:cs="Times New Roman"/>
          <w:sz w:val="28"/>
          <w:szCs w:val="28"/>
        </w:rPr>
        <w:t>о рі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D4F01">
        <w:rPr>
          <w:rFonts w:ascii="Times New Roman" w:hAnsi="Times New Roman" w:cs="Times New Roman"/>
          <w:sz w:val="28"/>
          <w:szCs w:val="28"/>
        </w:rPr>
        <w:t>е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hAnsi="Times New Roman" w:cs="Times New Roman"/>
          <w:sz w:val="28"/>
          <w:szCs w:val="28"/>
        </w:rPr>
        <w:t xml:space="preserve">я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hAnsi="Times New Roman" w:cs="Times New Roman"/>
          <w:sz w:val="28"/>
          <w:szCs w:val="28"/>
        </w:rPr>
        <w:t>ок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hAnsi="Times New Roman" w:cs="Times New Roman"/>
          <w:sz w:val="28"/>
          <w:szCs w:val="28"/>
        </w:rPr>
        <w:t>аде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 xml:space="preserve">о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 xml:space="preserve">а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hAnsi="Times New Roman" w:cs="Times New Roman"/>
          <w:sz w:val="28"/>
          <w:szCs w:val="28"/>
        </w:rPr>
        <w:t>ос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>і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D4F0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hAnsi="Times New Roman" w:cs="Times New Roman"/>
          <w:sz w:val="28"/>
          <w:szCs w:val="28"/>
        </w:rPr>
        <w:t xml:space="preserve"> пи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>а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>ь еко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hAnsi="Times New Roman" w:cs="Times New Roman"/>
          <w:sz w:val="28"/>
          <w:szCs w:val="28"/>
        </w:rPr>
        <w:t>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hAnsi="Times New Roman" w:cs="Times New Roman"/>
          <w:sz w:val="28"/>
          <w:szCs w:val="28"/>
        </w:rPr>
        <w:t xml:space="preserve">ії,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hAnsi="Times New Roman" w:cs="Times New Roman"/>
          <w:sz w:val="28"/>
          <w:szCs w:val="28"/>
        </w:rPr>
        <w:t>р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hAnsi="Times New Roman" w:cs="Times New Roman"/>
          <w:sz w:val="28"/>
          <w:szCs w:val="28"/>
        </w:rPr>
        <w:t>родокор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hAnsi="Times New Roman" w:cs="Times New Roman"/>
          <w:sz w:val="28"/>
          <w:szCs w:val="28"/>
        </w:rPr>
        <w:t>стува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hAnsi="Times New Roman" w:cs="Times New Roman"/>
          <w:sz w:val="28"/>
          <w:szCs w:val="28"/>
        </w:rPr>
        <w:t xml:space="preserve">я,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hAnsi="Times New Roman" w:cs="Times New Roman"/>
          <w:sz w:val="28"/>
          <w:szCs w:val="28"/>
        </w:rPr>
        <w:t>росторо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D4F01">
        <w:rPr>
          <w:rFonts w:ascii="Times New Roman" w:hAnsi="Times New Roman" w:cs="Times New Roman"/>
          <w:sz w:val="28"/>
          <w:szCs w:val="28"/>
        </w:rPr>
        <w:t>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hAnsi="Times New Roman" w:cs="Times New Roman"/>
          <w:sz w:val="28"/>
          <w:szCs w:val="28"/>
        </w:rPr>
        <w:t>о ро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hAnsi="Times New Roman" w:cs="Times New Roman"/>
          <w:sz w:val="28"/>
          <w:szCs w:val="28"/>
        </w:rPr>
        <w:t>в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hAnsi="Times New Roman" w:cs="Times New Roman"/>
          <w:sz w:val="28"/>
          <w:szCs w:val="28"/>
        </w:rPr>
        <w:t>тку, міс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D4F01">
        <w:rPr>
          <w:rFonts w:ascii="Times New Roman" w:hAnsi="Times New Roman" w:cs="Times New Roman"/>
          <w:sz w:val="28"/>
          <w:szCs w:val="28"/>
        </w:rPr>
        <w:t>тва, ре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hAnsi="Times New Roman" w:cs="Times New Roman"/>
          <w:sz w:val="28"/>
          <w:szCs w:val="28"/>
        </w:rPr>
        <w:t>у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hAnsi="Times New Roman" w:cs="Times New Roman"/>
          <w:sz w:val="28"/>
          <w:szCs w:val="28"/>
        </w:rPr>
        <w:t>юва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hAnsi="Times New Roman" w:cs="Times New Roman"/>
          <w:sz w:val="28"/>
          <w:szCs w:val="28"/>
        </w:rPr>
        <w:t xml:space="preserve">я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hAnsi="Times New Roman" w:cs="Times New Roman"/>
          <w:sz w:val="28"/>
          <w:szCs w:val="28"/>
        </w:rPr>
        <w:t>емел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D4F01">
        <w:rPr>
          <w:rFonts w:ascii="Times New Roman" w:hAnsi="Times New Roman" w:cs="Times New Roman"/>
          <w:sz w:val="28"/>
          <w:szCs w:val="28"/>
        </w:rPr>
        <w:t>х від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>осин (Нес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hAnsi="Times New Roman" w:cs="Times New Roman"/>
          <w:sz w:val="28"/>
          <w:szCs w:val="28"/>
        </w:rPr>
        <w:t>ас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hAnsi="Times New Roman" w:cs="Times New Roman"/>
          <w:sz w:val="28"/>
          <w:szCs w:val="28"/>
        </w:rPr>
        <w:t>у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D4F01">
        <w:rPr>
          <w:rFonts w:ascii="Times New Roman" w:hAnsi="Times New Roman" w:cs="Times New Roman"/>
          <w:sz w:val="28"/>
          <w:szCs w:val="28"/>
        </w:rPr>
        <w:t>ка місько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hAnsi="Times New Roman" w:cs="Times New Roman"/>
          <w:sz w:val="28"/>
          <w:szCs w:val="28"/>
        </w:rPr>
        <w:t xml:space="preserve">о 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hAnsi="Times New Roman" w:cs="Times New Roman"/>
          <w:sz w:val="28"/>
          <w:szCs w:val="28"/>
        </w:rPr>
        <w:t>о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hAnsi="Times New Roman" w:cs="Times New Roman"/>
          <w:sz w:val="28"/>
          <w:szCs w:val="28"/>
        </w:rPr>
        <w:t>ов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hAnsi="Times New Roman" w:cs="Times New Roman"/>
          <w:sz w:val="28"/>
          <w:szCs w:val="28"/>
        </w:rPr>
        <w:t xml:space="preserve"> А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>дріє</w:t>
      </w:r>
      <w:r w:rsidRPr="006D4F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D4F01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F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6D4F01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0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D4F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D4F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E21A50">
      <w:pgSz w:w="11905" w:h="16838"/>
      <w:pgMar w:top="851" w:right="84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21E1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D4F01"/>
    <w:rsid w:val="006F5C10"/>
    <w:rsid w:val="007114FA"/>
    <w:rsid w:val="00721625"/>
    <w:rsid w:val="0073486A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3C8C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1A50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0">
    <w:name w:val="dat0"/>
    <w:basedOn w:val="a0"/>
    <w:rsid w:val="0007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4467</Words>
  <Characters>2547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2025-02-03T08:59:00Z</cp:lastPrinted>
  <dcterms:created xsi:type="dcterms:W3CDTF">2025-01-16T09:08:00Z</dcterms:created>
  <dcterms:modified xsi:type="dcterms:W3CDTF">2025-02-03T08:59:00Z</dcterms:modified>
</cp:coreProperties>
</file>