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bookmarkStart w:colFirst="0" w:colLast="0" w:name="_59v09o49w8lh" w:id="0"/>
      <w:bookmarkEnd w:id="0"/>
      <w:r w:rsidDel="00000000" w:rsidR="00000000" w:rsidRPr="00000000">
        <w:rPr>
          <w:rFonts w:ascii="Times New Roman" w:cs="Times New Roman" w:eastAsia="Times New Roman" w:hAnsi="Times New Roman"/>
          <w:sz w:val="28"/>
          <w:szCs w:val="28"/>
          <w:rtl w:val="0"/>
        </w:rPr>
        <w:t xml:space="preserve"> s-zr-205/837</w:t>
        <w:tab/>
        <w:tab/>
        <w:t xml:space="preserve">19.02.2026 оновлена редакція</w:t>
      </w:r>
    </w:p>
    <w:p w:rsidR="00000000" w:rsidDel="00000000" w:rsidP="00000000" w:rsidRDefault="00000000" w:rsidRPr="00000000" w14:paraId="00000002">
      <w:pPr>
        <w:widowControl w:val="0"/>
        <w:tabs>
          <w:tab w:val="left" w:leader="none" w:pos="7661"/>
          <w:tab w:val="left" w:leader="none" w:pos="9072"/>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072"/>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bookmarkStart w:colFirst="0" w:colLast="0" w:name="_fdms699yj11k" w:id="1"/>
      <w:bookmarkEnd w:id="1"/>
      <w:r w:rsidDel="00000000" w:rsidR="00000000" w:rsidRPr="00000000">
        <w:rPr>
          <w:rFonts w:ascii="Times New Roman" w:cs="Times New Roman" w:eastAsia="Times New Roman" w:hAnsi="Times New Roman"/>
          <w:sz w:val="28"/>
          <w:szCs w:val="28"/>
          <w:rtl w:val="0"/>
        </w:rPr>
        <w:t xml:space="preserve">«Про надання громадянці Бойко Ганні Володимирівні земельної ділянки (кадастровий номер 4810136600:11:052:0008) у власність для будівництва і обслуговування житлового будинку, господарських будівель і споруд (присадибної ділянки) по вул. Сил Територіальної Оборони України, 102 у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072"/>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072"/>
        </w:tabs>
        <w:spacing w:line="276" w:lineRule="auto"/>
        <w:ind w:firstLine="567"/>
        <w:jc w:val="both"/>
        <w:rPr>
          <w:rFonts w:ascii="Times New Roman" w:cs="Times New Roman" w:eastAsia="Times New Roman" w:hAnsi="Times New Roman"/>
          <w:sz w:val="28"/>
          <w:szCs w:val="28"/>
        </w:rPr>
      </w:pPr>
      <w:bookmarkStart w:colFirst="0" w:colLast="0" w:name="_okljzbgm7jaf"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Бойко Ганни Володимирівни, дозвільну справу від 06.02.2026 № 19.04-06/6829/2026,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Бойко Ганні Володимирівні земельної ділянки (кадастровий номер 4810136600:11:052:0008) у власність для будівництва і обслуговування житлового будинку, господарських будівель і споруд (присадибної ділянки) по вул. Сил Територіальної Оборони України, 102 у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67ovjexu6wnf"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520 кв.м (кадастровий номер 4810136600:11:052:0008),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Сил Територіальної Оборони України, 102 у Корабельному районі м. Миколаєва (забудована земельна ділянка).</w:t>
      </w:r>
    </w:p>
    <w:p w:rsidR="00000000" w:rsidDel="00000000" w:rsidP="00000000" w:rsidRDefault="00000000" w:rsidRPr="00000000" w14:paraId="0000000C">
      <w:pPr>
        <w:widowControl w:val="0"/>
        <w:tabs>
          <w:tab w:val="left" w:leader="none" w:pos="1890"/>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D">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громадянці Бойко Ганні Володимирівні земельну ділянку (кадастровий номер 4810136600:11:052:0008) площею 520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Сил Територіальної Оборони України, 102 у Корабельному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668002048101, номер відомостей про речове право: 59909138 від 16.05.2025, зареєстровано на підставі договору дарування від 16.05.2025 № 869), відповідно до висновку департаменту архітектури та містобудування Миколаївської міської ради від 10.02.2026 № 7945/12.02-13/26-2.</w:t>
      </w:r>
    </w:p>
    <w:p w:rsidR="00000000" w:rsidDel="00000000" w:rsidP="00000000" w:rsidRDefault="00000000" w:rsidRPr="00000000" w14:paraId="0000000F">
      <w:pPr>
        <w:widowControl w:val="0"/>
        <w:tabs>
          <w:tab w:val="left" w:leader="none" w:pos="1890"/>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tabs>
          <w:tab w:val="left" w:leader="none" w:pos="1890"/>
        </w:tabs>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1">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2">
      <w:pPr>
        <w:widowControl w:val="0"/>
        <w:tabs>
          <w:tab w:val="left" w:leader="none" w:pos="1890"/>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1890"/>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4">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5">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6">
      <w:pPr>
        <w:widowControl w:val="0"/>
        <w:tabs>
          <w:tab w:val="left" w:leader="none" w:pos="907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7">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tabs>
          <w:tab w:val="left" w:leader="none" w:pos="9072"/>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vvpplbp2l7h4"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072"/>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