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j5shb0rlvf6g" w:id="0"/>
      <w:bookmarkEnd w:id="0"/>
      <w:r w:rsidDel="00000000" w:rsidR="00000000" w:rsidRPr="00000000">
        <w:rPr>
          <w:rFonts w:ascii="Times New Roman" w:cs="Times New Roman" w:eastAsia="Times New Roman" w:hAnsi="Times New Roman"/>
          <w:sz w:val="28"/>
          <w:szCs w:val="28"/>
          <w:rtl w:val="0"/>
        </w:rPr>
        <w:t xml:space="preserve"> s-zr-205/826</w:t>
        <w:tab/>
        <w:tab/>
        <w:t xml:space="preserve">11.02.2026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91azgvqwdwv"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Оліферу Олександру Олеговичу земельної ділянки (кадастровий номер 4810137200:10:047:0012) у власність для будівництва і обслуговування житлового будинку, господарських будівель і споруд (присадибної ділянки) по вул. Бокова, 15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hs06fzr7413s"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Оліфера Олександра Олеговича, дозвільну справу від 30.01.2026 № 19.04-06/5720/2026,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Оліферу Олександру Олеговичу земельної ділянки (кадастровий номер 4810137200:10:047:0012) у власність для будівництва і обслуговування житлового будинку, господарських будівель і споруд (присадибної ділянки) по вул. Бокова, 15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x9pk9ua72qj3"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368 кв.м (кадастровий номер 4810137200:10:047:0012),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Бокова, 15 у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Оліферу Олександру Олеговичу земельну ділянку (кадастровий номер 4810137200:10:047:0012) площею 368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Бокова, 15 у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3144893248060, номер відомостей про речове право: 60025793 від 24.05.2025, зареєстровано на підставі свідоцтва про право на спадщину від 24.05.2025 </w:t>
        <w:br w:type="textWrapping"/>
        <w:t xml:space="preserve">№ 5-158), відповідно до висновку департаменту архітектури та містобудування Миколаївської міської ради від 03.02.2026 № 6448/12.01-17/26-2.</w:t>
      </w:r>
    </w:p>
    <w:p w:rsidR="00000000" w:rsidDel="00000000" w:rsidP="00000000" w:rsidRDefault="00000000" w:rsidRPr="00000000" w14:paraId="0000000E">
      <w:pPr>
        <w:widowControl w:val="0"/>
        <w:tabs>
          <w:tab w:val="left" w:leader="none" w:pos="273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9072"/>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3afonscjpona"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