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uhqq7uu92r0l" w:id="0"/>
      <w:bookmarkEnd w:id="0"/>
      <w:r w:rsidDel="00000000" w:rsidR="00000000" w:rsidRPr="00000000">
        <w:rPr>
          <w:rFonts w:ascii="Times New Roman" w:cs="Times New Roman" w:eastAsia="Times New Roman" w:hAnsi="Times New Roman"/>
          <w:sz w:val="28"/>
          <w:szCs w:val="28"/>
          <w:rtl w:val="0"/>
        </w:rPr>
        <w:t xml:space="preserve"> s-zr-205/813</w:t>
        <w:tab/>
        <w:tab/>
        <w:t xml:space="preserve">22.01.2026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vlsynkqrf172" w:id="1"/>
      <w:bookmarkEnd w:id="1"/>
      <w:r w:rsidDel="00000000" w:rsidR="00000000" w:rsidRPr="00000000">
        <w:rPr>
          <w:rFonts w:ascii="Times New Roman" w:cs="Times New Roman" w:eastAsia="Times New Roman" w:hAnsi="Times New Roman"/>
          <w:sz w:val="28"/>
          <w:szCs w:val="28"/>
          <w:rtl w:val="0"/>
        </w:rPr>
        <w:t xml:space="preserve">«Про надання дозволу головному управлінню Пенсійного фонду України в Миколаївській області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зі співвласниками майна, для обслуговування нежитлового об’єкта по пр. Центральному, 93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rln154v48nc8"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головного управління Пенсійного фонду України в Миколаївській області, дозвільні справи від 22.07.2025 № 19.04-06/39470/2025 та від 08.01.2026 № 19.04-06/1185/2026,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дозволу головному управлінню Пенсійного фонду України в Миколаївській області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зі співвласниками майна, для обслуговування нежитлового об’єкта по пр. Центральному, 93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Надати дозвіл головному управлінню Пенсійного фонду України в Миколаївській області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w:t>
      </w:r>
      <w:r w:rsidDel="00000000" w:rsidR="00000000" w:rsidRPr="00000000">
        <w:rPr>
          <w:rFonts w:ascii="Times New Roman" w:cs="Times New Roman" w:eastAsia="Times New Roman" w:hAnsi="Times New Roman"/>
          <w:sz w:val="28"/>
          <w:szCs w:val="28"/>
          <w:highlight w:val="white"/>
          <w:rtl w:val="0"/>
        </w:rPr>
        <w:t xml:space="preserve">земельної ділянки площею 5694 кв.м, зі співвласниками майна, </w:t>
      </w:r>
      <w:r w:rsidDel="00000000" w:rsidR="00000000" w:rsidRPr="00000000">
        <w:rPr>
          <w:rFonts w:ascii="Times New Roman" w:cs="Times New Roman" w:eastAsia="Times New Roman" w:hAnsi="Times New Roman"/>
          <w:sz w:val="28"/>
          <w:szCs w:val="28"/>
          <w:rtl w:val="0"/>
        </w:rPr>
        <w:t xml:space="preserve">з розрахунком ідеальної частки, для обслуговування нежитлового об’єкта по пр. Центральному, 93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об’єкта нерухомого майна: 1812234848101, номер відомостей про речове право: 50883678 від 03.07.2023, зареєстровано на підставі передавального акта, серія та номер: б/н, виданого 28.04.2023, у розмірі 2/100000; номер відомостей про речове право: 50883116 від 03.07.2023, зареєстровано на підставі передавального акта, серія та номер: б/н, виданого 28.04.2023, у розмірі 1967/100000; номер відомостей про речове право: 50884312 від 03.07.2023, зареєстровано на підставі передавального акта, серія та номер: б/н, виданого 28.04.2023, у розмірі 196/1000)</w:t>
      </w:r>
      <w:r w:rsidDel="00000000" w:rsidR="00000000" w:rsidRPr="00000000">
        <w:rPr>
          <w:rFonts w:ascii="Times New Roman" w:cs="Times New Roman" w:eastAsia="Times New Roman" w:hAnsi="Times New Roman"/>
          <w:sz w:val="28"/>
          <w:szCs w:val="28"/>
          <w:highlight w:val="white"/>
          <w:rtl w:val="0"/>
        </w:rPr>
        <w:t xml:space="preserve">, відповідно до висновку департаменту архітектури та містобудування Миколаївської міської ради від 12.01.2026 № 1709/12.02-13/26-2.</w:t>
      </w:r>
    </w:p>
    <w:p w:rsidR="00000000" w:rsidDel="00000000" w:rsidP="00000000" w:rsidRDefault="00000000" w:rsidRPr="00000000" w14:paraId="0000000C">
      <w:pPr>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планувальних обмежень, визначених Генеральним планом м. Миколаєва, затвердженим рішенням Миколаївської міської ради від 18.06.2009 № 35/18, на земельній ділянці діють обмеження санітарно-гігієнічного характеру: санітарно-захисна зона з урахуванням рози вітрів для виробничих та комунально-складських об’єктів IV-V класу шкідливості </w:t>
        <w:br w:type="textWrapping"/>
        <w:t xml:space="preserve">(100-50 м).</w:t>
      </w:r>
    </w:p>
    <w:p w:rsidR="00000000" w:rsidDel="00000000" w:rsidP="00000000" w:rsidRDefault="00000000" w:rsidRPr="00000000" w14:paraId="0000000D">
      <w:pPr>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E">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w:t>
      </w:r>
      <w:r w:rsidDel="00000000" w:rsidR="00000000" w:rsidRPr="00000000">
        <w:rPr>
          <w:rFonts w:ascii="Times New Roman" w:cs="Times New Roman" w:eastAsia="Times New Roman" w:hAnsi="Times New Roman"/>
          <w:sz w:val="28"/>
          <w:szCs w:val="28"/>
          <w:rtl w:val="0"/>
        </w:rPr>
        <w:t xml:space="preserve">Головному управлінню Пенсійного фонду України в Миколаївській області </w:t>
      </w:r>
      <w:r w:rsidDel="00000000" w:rsidR="00000000" w:rsidRPr="00000000">
        <w:rPr>
          <w:rFonts w:ascii="Times New Roman" w:cs="Times New Roman" w:eastAsia="Times New Roman" w:hAnsi="Times New Roman"/>
          <w:sz w:val="28"/>
          <w:szCs w:val="28"/>
          <w:highlight w:val="white"/>
          <w:rtl w:val="0"/>
        </w:rPr>
        <w:t xml:space="preserve">замовити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sz w:val="28"/>
          <w:szCs w:val="28"/>
          <w:highlight w:val="white"/>
          <w:rtl w:val="0"/>
        </w:rPr>
        <w:t xml:space="preserve">на земельну ділянку площею 5694 кв.м</w:t>
      </w:r>
      <w:r w:rsidDel="00000000" w:rsidR="00000000" w:rsidRPr="00000000">
        <w:rPr>
          <w:rFonts w:ascii="Times New Roman" w:cs="Times New Roman" w:eastAsia="Times New Roman" w:hAnsi="Times New Roman"/>
          <w:sz w:val="28"/>
          <w:szCs w:val="28"/>
          <w:rtl w:val="0"/>
        </w:rPr>
        <w:t xml:space="preserve">, з метою передачі в оренду зі співвласниками майна,</w:t>
      </w:r>
      <w:r w:rsidDel="00000000" w:rsidR="00000000" w:rsidRPr="00000000">
        <w:rPr>
          <w:rFonts w:ascii="Times New Roman" w:cs="Times New Roman" w:eastAsia="Times New Roman" w:hAnsi="Times New Roman"/>
          <w:sz w:val="28"/>
          <w:szCs w:val="28"/>
          <w:highlight w:val="white"/>
          <w:rtl w:val="0"/>
        </w:rPr>
        <w:t xml:space="preserve"> та надати її до департаменту з надання адміністративних послуг Миколаївської міської ради».</w:t>
      </w:r>
    </w:p>
    <w:p w:rsidR="00000000" w:rsidDel="00000000" w:rsidP="00000000" w:rsidRDefault="00000000" w:rsidRPr="00000000" w14:paraId="0000000F">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lxp3kqkv1vr"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