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cc4o0p3jzbrq" w:id="0"/>
      <w:bookmarkEnd w:id="0"/>
      <w:r w:rsidDel="00000000" w:rsidR="00000000" w:rsidRPr="00000000">
        <w:rPr>
          <w:rFonts w:ascii="Times New Roman" w:cs="Times New Roman" w:eastAsia="Times New Roman" w:hAnsi="Times New Roman"/>
          <w:sz w:val="28"/>
          <w:szCs w:val="28"/>
          <w:rtl w:val="0"/>
        </w:rPr>
        <w:t xml:space="preserve"> s-zr-221/60</w:t>
        <w:tab/>
        <w:t xml:space="preserve">             19.02.2026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7iu1x590ujze"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Черніковій Тетяні Олександрівні земельної ділянки (кадастровий номер 4810136600:11:011:0018) у власність для будівництва і обслуговування житлового будинку, господарських будівель і споруд (присадибної ділянки) по вул. Повстанській, 18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vu2mmsjy5hpd"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Чернікової Тетяни Олександрівни, дозвільну справу від 09.02.2026 № 19.04-06/7243/2026,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Черніковій Тетяні Олександрівні земельної ділянки (кадастровий номер 4810136600:11:011:0018) у власність для будівництва і обслуговування житлового будинку, господарських будівель і споруд (присадибної ділянки) по вул. Повстанській, 18 в Корабельному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l3vq3bnxochy"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275 кв.м (кадастровий номер 4810136600:11:011:0018),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Повстанській, 18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kk4eqmfrue83" w:id="4"/>
      <w:bookmarkEnd w:id="4"/>
      <w:r w:rsidDel="00000000" w:rsidR="00000000" w:rsidRPr="00000000">
        <w:rPr>
          <w:rFonts w:ascii="Times New Roman" w:cs="Times New Roman" w:eastAsia="Times New Roman" w:hAnsi="Times New Roman"/>
          <w:sz w:val="28"/>
          <w:szCs w:val="28"/>
          <w:rtl w:val="0"/>
        </w:rPr>
        <w:t xml:space="preserve">1.1. Надати громадянці Черніковій Тетяні Олександрівні земельну ділянку (кадастровий номер 4810136600:11:011:0018) площею 275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Повстанській, 18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3201715248060; номер відомостей про речове право: 61461309 від 10.09.2025, зареєстровано на підставі свідоцтва про право на спадщину від 25.09.2014 № 1132, договору про поділ нерухомого майна від 19.08.2025 № 1138, документа, що підтверджує присвоєння закінченому будівництвом об’єкту адреси від 01.09.2025 серія та номер AR01:9817-3572-9253-6944), відповідно до висновку департаменту архітектури та містобудування Миколаївської міської ради від 11.02.2026 № 8050/12.01-17/26-2.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694"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