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m95saki7uen8" w:id="0"/>
      <w:bookmarkEnd w:id="0"/>
      <w:r w:rsidDel="00000000" w:rsidR="00000000" w:rsidRPr="00000000">
        <w:rPr>
          <w:rFonts w:ascii="Times New Roman" w:cs="Times New Roman" w:eastAsia="Times New Roman" w:hAnsi="Times New Roman"/>
          <w:sz w:val="28"/>
          <w:szCs w:val="28"/>
          <w:rtl w:val="0"/>
        </w:rPr>
        <w:t xml:space="preserve"> s-zr-221/54</w:t>
        <w:tab/>
        <w:t xml:space="preserve">             15.01.2026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fc0kw4llg063"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Омельчук Антоніні Леонідівні земельної ділянки (кадастровий номер 4810136600:01:025:0016) у власність для будівництва і обслуговування житлового будинку, господарських будівель і споруд (присадибної ділянки) по вул. Квітковій, 5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9hf9o5roh2aw"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Омельчук Антоніни Леонідівни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08.01.2026 № 19.04-06/1389/2026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Омельчук Антоніні Леонідівні земельної ділянки (кадастровий номер 4810136600:01:025:0016) у власність для будівництва і обслуговування житлового будинку, господарських будівель і споруд (присадибної ділянки) по вул. Квітковій, 5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vvht82hg9bw3"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792 кв.м (кадастровий номер 4810136600:01:025:0016),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Квітковій, 5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xocmhd1bk3kj" w:id="4"/>
      <w:bookmarkEnd w:id="4"/>
      <w:r w:rsidDel="00000000" w:rsidR="00000000" w:rsidRPr="00000000">
        <w:rPr>
          <w:rFonts w:ascii="Times New Roman" w:cs="Times New Roman" w:eastAsia="Times New Roman" w:hAnsi="Times New Roman"/>
          <w:sz w:val="28"/>
          <w:szCs w:val="28"/>
          <w:rtl w:val="0"/>
        </w:rPr>
        <w:t xml:space="preserve">1.1. Надати громадянці Омельчук Антоніні Леонідівні земельну ділянку (кадастровий номер 4810136600:01:025:0016) площею 792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Квітковій, 5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2852249348060; номер відомостей про речове право: 59892739 від 14.05.2025, зареєстровано на підставі договору купівлі-продажу від 14.05.2025 № 341), відповідно до висновку департаменту архітектури та містобудування Миколаївської міської ради від 12.01.2026 № 1686/12.01-17/26-2.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694"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