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73D" w:rsidRPr="00DC7E0E" w:rsidRDefault="000D2906" w:rsidP="00F96494">
      <w:pPr>
        <w:pStyle w:val="2"/>
        <w:spacing w:before="0" w:after="0"/>
        <w:ind w:right="-100"/>
        <w:jc w:val="center"/>
        <w:rPr>
          <w:rFonts w:ascii="Times New Roman" w:hAnsi="Times New Roman" w:cs="Times New Roman"/>
          <w:i w:val="0"/>
          <w:lang w:val="uk-UA"/>
        </w:rPr>
      </w:pPr>
      <w:r w:rsidRPr="00DC7E0E">
        <w:rPr>
          <w:rFonts w:ascii="Times New Roman" w:hAnsi="Times New Roman" w:cs="Times New Roman"/>
          <w:i w:val="0"/>
          <w:lang w:val="uk-UA"/>
        </w:rPr>
        <w:t xml:space="preserve">Фінансово-економічне </w:t>
      </w:r>
      <w:r w:rsidR="002E3C37" w:rsidRPr="00DC7E0E">
        <w:rPr>
          <w:rFonts w:ascii="Times New Roman" w:hAnsi="Times New Roman" w:cs="Times New Roman"/>
          <w:i w:val="0"/>
          <w:lang w:val="uk-UA"/>
        </w:rPr>
        <w:t>обґрунтування</w:t>
      </w:r>
      <w:r w:rsidRPr="00DC7E0E">
        <w:rPr>
          <w:rFonts w:ascii="Times New Roman" w:hAnsi="Times New Roman" w:cs="Times New Roman"/>
          <w:i w:val="0"/>
          <w:lang w:val="uk-UA"/>
        </w:rPr>
        <w:t xml:space="preserve"> до</w:t>
      </w:r>
    </w:p>
    <w:p w:rsidR="000D2906" w:rsidRPr="00DC7E0E" w:rsidRDefault="00F712BC" w:rsidP="00F96494">
      <w:pPr>
        <w:jc w:val="center"/>
        <w:outlineLvl w:val="2"/>
        <w:rPr>
          <w:b/>
          <w:bCs/>
          <w:iCs/>
          <w:sz w:val="28"/>
          <w:szCs w:val="28"/>
          <w:lang w:val="uk-UA"/>
        </w:rPr>
      </w:pPr>
      <w:r w:rsidRPr="00DC7E0E">
        <w:rPr>
          <w:b/>
          <w:bCs/>
          <w:iCs/>
          <w:sz w:val="28"/>
          <w:szCs w:val="28"/>
          <w:lang w:val="uk-UA"/>
        </w:rPr>
        <w:t>п</w:t>
      </w:r>
      <w:r w:rsidR="000D2906" w:rsidRPr="00DC7E0E">
        <w:rPr>
          <w:b/>
          <w:bCs/>
          <w:iCs/>
          <w:sz w:val="28"/>
          <w:szCs w:val="28"/>
          <w:lang w:val="uk-UA"/>
        </w:rPr>
        <w:t xml:space="preserve">рогнозу бюджету </w:t>
      </w:r>
      <w:r w:rsidRPr="00DC7E0E">
        <w:rPr>
          <w:b/>
          <w:bCs/>
          <w:iCs/>
          <w:sz w:val="28"/>
          <w:szCs w:val="28"/>
          <w:lang w:val="uk-UA"/>
        </w:rPr>
        <w:t>Миколаївської</w:t>
      </w:r>
      <w:r w:rsidR="000D2906" w:rsidRPr="00DC7E0E">
        <w:rPr>
          <w:b/>
          <w:bCs/>
          <w:iCs/>
          <w:sz w:val="28"/>
          <w:szCs w:val="28"/>
          <w:lang w:val="uk-UA"/>
        </w:rPr>
        <w:t xml:space="preserve"> міської територіальної громади </w:t>
      </w:r>
    </w:p>
    <w:p w:rsidR="000D2906" w:rsidRPr="00DC7E0E" w:rsidRDefault="000D2906" w:rsidP="00F96494">
      <w:pPr>
        <w:jc w:val="center"/>
        <w:outlineLvl w:val="2"/>
        <w:rPr>
          <w:b/>
          <w:bCs/>
          <w:iCs/>
          <w:sz w:val="28"/>
          <w:szCs w:val="28"/>
          <w:lang w:val="uk-UA"/>
        </w:rPr>
      </w:pPr>
      <w:r w:rsidRPr="00DC7E0E">
        <w:rPr>
          <w:b/>
          <w:bCs/>
          <w:iCs/>
          <w:sz w:val="28"/>
          <w:szCs w:val="28"/>
          <w:lang w:val="uk-UA"/>
        </w:rPr>
        <w:t>на 2022-2024 роки</w:t>
      </w:r>
    </w:p>
    <w:p w:rsidR="000D2906" w:rsidRPr="00DC7E0E" w:rsidRDefault="000D2906" w:rsidP="00F96494">
      <w:pPr>
        <w:ind w:firstLine="709"/>
        <w:outlineLvl w:val="2"/>
        <w:rPr>
          <w:bCs/>
          <w:sz w:val="28"/>
          <w:szCs w:val="28"/>
          <w:lang w:val="uk-UA" w:eastAsia="uk-UA"/>
        </w:rPr>
      </w:pPr>
    </w:p>
    <w:p w:rsidR="00D55DF5" w:rsidRPr="00DC7E0E" w:rsidRDefault="00D55DF5" w:rsidP="00F96494">
      <w:pPr>
        <w:jc w:val="center"/>
        <w:rPr>
          <w:b/>
          <w:sz w:val="28"/>
          <w:szCs w:val="28"/>
          <w:lang w:val="uk-UA" w:eastAsia="en-US"/>
        </w:rPr>
      </w:pPr>
      <w:r w:rsidRPr="00DC7E0E">
        <w:rPr>
          <w:b/>
          <w:sz w:val="28"/>
          <w:szCs w:val="28"/>
          <w:lang w:val="uk-UA" w:eastAsia="en-US"/>
        </w:rPr>
        <w:t xml:space="preserve">Прогнозні </w:t>
      </w:r>
      <w:proofErr w:type="spellStart"/>
      <w:r w:rsidRPr="00DC7E0E">
        <w:rPr>
          <w:b/>
          <w:sz w:val="28"/>
          <w:szCs w:val="28"/>
          <w:lang w:val="uk-UA" w:eastAsia="en-US"/>
        </w:rPr>
        <w:t>макропоказники</w:t>
      </w:r>
      <w:proofErr w:type="spellEnd"/>
      <w:r w:rsidRPr="00DC7E0E">
        <w:rPr>
          <w:b/>
          <w:sz w:val="28"/>
          <w:szCs w:val="28"/>
          <w:lang w:val="uk-UA" w:eastAsia="en-US"/>
        </w:rPr>
        <w:t xml:space="preserve"> економічного і соціального розвитку </w:t>
      </w:r>
    </w:p>
    <w:p w:rsidR="00D55DF5" w:rsidRPr="00DC7E0E" w:rsidRDefault="00D55DF5" w:rsidP="00F96494">
      <w:pPr>
        <w:jc w:val="center"/>
        <w:rPr>
          <w:b/>
          <w:sz w:val="28"/>
          <w:szCs w:val="28"/>
          <w:lang w:val="uk-UA" w:eastAsia="en-US"/>
        </w:rPr>
      </w:pPr>
      <w:r w:rsidRPr="00DC7E0E">
        <w:rPr>
          <w:b/>
          <w:sz w:val="28"/>
          <w:szCs w:val="28"/>
          <w:lang w:val="uk-UA" w:eastAsia="en-US"/>
        </w:rPr>
        <w:t xml:space="preserve">міста </w:t>
      </w:r>
      <w:r w:rsidR="00F712BC" w:rsidRPr="00DC7E0E">
        <w:rPr>
          <w:b/>
          <w:sz w:val="28"/>
          <w:szCs w:val="28"/>
          <w:lang w:val="uk-UA" w:eastAsia="en-US"/>
        </w:rPr>
        <w:t>Миколаєва</w:t>
      </w:r>
    </w:p>
    <w:p w:rsidR="00813750" w:rsidRPr="00DC7E0E" w:rsidRDefault="00D55DF5" w:rsidP="00F96494">
      <w:pPr>
        <w:ind w:firstLine="709"/>
        <w:jc w:val="both"/>
        <w:rPr>
          <w:sz w:val="28"/>
          <w:szCs w:val="28"/>
          <w:lang w:val="uk-UA" w:eastAsia="en-US"/>
        </w:rPr>
      </w:pPr>
      <w:r w:rsidRPr="00DC7E0E">
        <w:rPr>
          <w:sz w:val="28"/>
          <w:szCs w:val="28"/>
          <w:lang w:val="uk-UA" w:eastAsia="en-US"/>
        </w:rPr>
        <w:t xml:space="preserve">Для розрахунку показників </w:t>
      </w:r>
      <w:r w:rsidR="00F712BC" w:rsidRPr="00DC7E0E">
        <w:rPr>
          <w:sz w:val="28"/>
          <w:szCs w:val="28"/>
          <w:lang w:val="uk-UA" w:eastAsia="en-US"/>
        </w:rPr>
        <w:t>п</w:t>
      </w:r>
      <w:r w:rsidRPr="00DC7E0E">
        <w:rPr>
          <w:sz w:val="28"/>
          <w:szCs w:val="28"/>
          <w:lang w:val="uk-UA" w:eastAsia="en-US"/>
        </w:rPr>
        <w:t xml:space="preserve">рогнозу бюджету </w:t>
      </w:r>
      <w:r w:rsidR="00F712BC" w:rsidRPr="00DC7E0E">
        <w:rPr>
          <w:sz w:val="28"/>
          <w:szCs w:val="28"/>
          <w:lang w:val="uk-UA" w:eastAsia="en-US"/>
        </w:rPr>
        <w:t>Миколаївської</w:t>
      </w:r>
      <w:r w:rsidRPr="00DC7E0E">
        <w:rPr>
          <w:sz w:val="28"/>
          <w:szCs w:val="28"/>
          <w:lang w:val="uk-UA" w:eastAsia="en-US"/>
        </w:rPr>
        <w:t xml:space="preserve"> міської територіальної громади на 2022</w:t>
      </w:r>
      <w:r w:rsidR="00F712BC" w:rsidRPr="00DC7E0E">
        <w:rPr>
          <w:sz w:val="28"/>
          <w:szCs w:val="28"/>
          <w:lang w:val="uk-UA" w:eastAsia="en-US"/>
        </w:rPr>
        <w:t>-</w:t>
      </w:r>
      <w:r w:rsidRPr="00DC7E0E">
        <w:rPr>
          <w:sz w:val="28"/>
          <w:szCs w:val="28"/>
          <w:lang w:val="uk-UA" w:eastAsia="en-US"/>
        </w:rPr>
        <w:t>2024 роки використано основні прогнозні макроекономічні показники економічного та соціального розвитку України, а також окремі припущення до прогнозних розрахунків на 2022</w:t>
      </w:r>
      <w:r w:rsidR="00F712BC" w:rsidRPr="00DC7E0E">
        <w:rPr>
          <w:sz w:val="28"/>
          <w:szCs w:val="28"/>
          <w:lang w:val="uk-UA" w:eastAsia="en-US"/>
        </w:rPr>
        <w:t>-</w:t>
      </w:r>
      <w:r w:rsidRPr="00DC7E0E">
        <w:rPr>
          <w:sz w:val="28"/>
          <w:szCs w:val="28"/>
          <w:lang w:val="uk-UA" w:eastAsia="en-US"/>
        </w:rPr>
        <w:t xml:space="preserve">2024 роки, розроблені </w:t>
      </w:r>
      <w:proofErr w:type="spellStart"/>
      <w:r w:rsidRPr="00DC7E0E">
        <w:rPr>
          <w:sz w:val="28"/>
          <w:szCs w:val="28"/>
          <w:lang w:val="uk-UA" w:eastAsia="en-US"/>
        </w:rPr>
        <w:t>Мінекономрозвитку</w:t>
      </w:r>
      <w:proofErr w:type="spellEnd"/>
      <w:r w:rsidR="002B1CFD" w:rsidRPr="00DC7E0E">
        <w:rPr>
          <w:sz w:val="28"/>
          <w:szCs w:val="28"/>
          <w:lang w:val="uk-UA" w:eastAsia="en-US"/>
        </w:rPr>
        <w:t>:</w:t>
      </w:r>
    </w:p>
    <w:p w:rsidR="00D55DF5" w:rsidRPr="00DC7E0E" w:rsidRDefault="00D55DF5" w:rsidP="00F96494">
      <w:pPr>
        <w:ind w:firstLine="709"/>
        <w:jc w:val="both"/>
        <w:rPr>
          <w:sz w:val="28"/>
          <w:szCs w:val="28"/>
          <w:lang w:val="uk-UA" w:eastAsia="en-US"/>
        </w:rPr>
      </w:pPr>
      <w:r w:rsidRPr="00DC7E0E">
        <w:rPr>
          <w:sz w:val="28"/>
          <w:szCs w:val="28"/>
          <w:lang w:val="uk-UA" w:eastAsia="en-US"/>
        </w:rPr>
        <w:t xml:space="preserve"> </w:t>
      </w:r>
    </w:p>
    <w:tbl>
      <w:tblPr>
        <w:tblStyle w:val="af4"/>
        <w:tblW w:w="9666" w:type="dxa"/>
        <w:tblLook w:val="04A0"/>
      </w:tblPr>
      <w:tblGrid>
        <w:gridCol w:w="5685"/>
        <w:gridCol w:w="1327"/>
        <w:gridCol w:w="1327"/>
        <w:gridCol w:w="1327"/>
      </w:tblGrid>
      <w:tr w:rsidR="002B1CFD" w:rsidRPr="00DC7E0E" w:rsidTr="00BD338B">
        <w:tc>
          <w:tcPr>
            <w:tcW w:w="5685" w:type="dxa"/>
          </w:tcPr>
          <w:p w:rsidR="002B1CFD" w:rsidRPr="00DC7E0E" w:rsidRDefault="002B1CFD" w:rsidP="00BD338B">
            <w:pPr>
              <w:jc w:val="center"/>
              <w:rPr>
                <w:sz w:val="28"/>
                <w:szCs w:val="28"/>
                <w:lang w:val="uk-UA"/>
              </w:rPr>
            </w:pPr>
            <w:r w:rsidRPr="00DC7E0E">
              <w:rPr>
                <w:sz w:val="28"/>
                <w:szCs w:val="28"/>
                <w:lang w:val="uk-UA"/>
              </w:rPr>
              <w:t>Показники</w:t>
            </w:r>
          </w:p>
        </w:tc>
        <w:tc>
          <w:tcPr>
            <w:tcW w:w="1327" w:type="dxa"/>
          </w:tcPr>
          <w:p w:rsidR="002B1CFD" w:rsidRPr="00DC7E0E" w:rsidRDefault="002B1CFD" w:rsidP="00BD338B">
            <w:pPr>
              <w:jc w:val="center"/>
              <w:rPr>
                <w:sz w:val="28"/>
                <w:szCs w:val="28"/>
                <w:lang w:val="uk-UA"/>
              </w:rPr>
            </w:pPr>
            <w:r w:rsidRPr="00DC7E0E">
              <w:rPr>
                <w:sz w:val="28"/>
                <w:szCs w:val="28"/>
                <w:lang w:val="uk-UA"/>
              </w:rPr>
              <w:t>2022 рік</w:t>
            </w:r>
          </w:p>
        </w:tc>
        <w:tc>
          <w:tcPr>
            <w:tcW w:w="1327" w:type="dxa"/>
          </w:tcPr>
          <w:p w:rsidR="002B1CFD" w:rsidRPr="00DC7E0E" w:rsidRDefault="002B1CFD" w:rsidP="00BD338B">
            <w:pPr>
              <w:jc w:val="center"/>
              <w:rPr>
                <w:sz w:val="28"/>
                <w:szCs w:val="28"/>
                <w:lang w:val="uk-UA"/>
              </w:rPr>
            </w:pPr>
            <w:r w:rsidRPr="00DC7E0E">
              <w:rPr>
                <w:sz w:val="28"/>
                <w:szCs w:val="28"/>
                <w:lang w:val="uk-UA"/>
              </w:rPr>
              <w:t>2023 рік</w:t>
            </w:r>
          </w:p>
        </w:tc>
        <w:tc>
          <w:tcPr>
            <w:tcW w:w="1327" w:type="dxa"/>
          </w:tcPr>
          <w:p w:rsidR="002B1CFD" w:rsidRPr="00DC7E0E" w:rsidRDefault="002B1CFD" w:rsidP="00BD338B">
            <w:pPr>
              <w:jc w:val="center"/>
              <w:rPr>
                <w:sz w:val="28"/>
                <w:szCs w:val="28"/>
                <w:lang w:val="uk-UA"/>
              </w:rPr>
            </w:pPr>
            <w:r w:rsidRPr="00DC7E0E">
              <w:rPr>
                <w:sz w:val="28"/>
                <w:szCs w:val="28"/>
                <w:lang w:val="uk-UA"/>
              </w:rPr>
              <w:t>2024 рік</w:t>
            </w:r>
          </w:p>
        </w:tc>
      </w:tr>
      <w:tr w:rsidR="002B1CFD" w:rsidRPr="00DC7E0E" w:rsidTr="00BD338B">
        <w:tc>
          <w:tcPr>
            <w:tcW w:w="5685" w:type="dxa"/>
          </w:tcPr>
          <w:p w:rsidR="002B1CFD" w:rsidRPr="00DC7E0E" w:rsidRDefault="002B1CFD" w:rsidP="00BD338B">
            <w:pPr>
              <w:rPr>
                <w:sz w:val="28"/>
                <w:szCs w:val="28"/>
                <w:lang w:val="uk-UA"/>
              </w:rPr>
            </w:pPr>
            <w:r w:rsidRPr="00DC7E0E">
              <w:rPr>
                <w:sz w:val="28"/>
                <w:szCs w:val="28"/>
                <w:lang w:val="uk-UA"/>
              </w:rPr>
              <w:t>Індекс споживчих цін (грудень до грудня попереднього року), %</w:t>
            </w:r>
          </w:p>
        </w:tc>
        <w:tc>
          <w:tcPr>
            <w:tcW w:w="1327" w:type="dxa"/>
          </w:tcPr>
          <w:p w:rsidR="002B1CFD" w:rsidRPr="00DC7E0E" w:rsidRDefault="002B1CFD" w:rsidP="00BD338B">
            <w:pPr>
              <w:jc w:val="center"/>
              <w:rPr>
                <w:sz w:val="28"/>
                <w:szCs w:val="28"/>
                <w:lang w:val="uk-UA"/>
              </w:rPr>
            </w:pPr>
            <w:r w:rsidRPr="00DC7E0E">
              <w:rPr>
                <w:sz w:val="28"/>
                <w:szCs w:val="28"/>
                <w:lang w:val="uk-UA"/>
              </w:rPr>
              <w:t>106,2</w:t>
            </w:r>
          </w:p>
        </w:tc>
        <w:tc>
          <w:tcPr>
            <w:tcW w:w="1327" w:type="dxa"/>
          </w:tcPr>
          <w:p w:rsidR="002B1CFD" w:rsidRPr="00DC7E0E" w:rsidRDefault="002B1CFD" w:rsidP="00BD338B">
            <w:pPr>
              <w:jc w:val="center"/>
              <w:rPr>
                <w:sz w:val="28"/>
                <w:szCs w:val="28"/>
                <w:lang w:val="uk-UA"/>
              </w:rPr>
            </w:pPr>
            <w:r w:rsidRPr="00DC7E0E">
              <w:rPr>
                <w:sz w:val="28"/>
                <w:szCs w:val="28"/>
                <w:lang w:val="uk-UA"/>
              </w:rPr>
              <w:t>105,3</w:t>
            </w:r>
          </w:p>
        </w:tc>
        <w:tc>
          <w:tcPr>
            <w:tcW w:w="1327" w:type="dxa"/>
          </w:tcPr>
          <w:p w:rsidR="002B1CFD" w:rsidRPr="00DC7E0E" w:rsidRDefault="002B1CFD" w:rsidP="00BD338B">
            <w:pPr>
              <w:jc w:val="center"/>
              <w:rPr>
                <w:sz w:val="28"/>
                <w:szCs w:val="28"/>
                <w:lang w:val="uk-UA"/>
              </w:rPr>
            </w:pPr>
            <w:r w:rsidRPr="00DC7E0E">
              <w:rPr>
                <w:sz w:val="28"/>
                <w:szCs w:val="28"/>
                <w:lang w:val="uk-UA"/>
              </w:rPr>
              <w:t>105,0</w:t>
            </w:r>
          </w:p>
        </w:tc>
      </w:tr>
      <w:tr w:rsidR="002B1CFD" w:rsidRPr="00DC7E0E" w:rsidTr="00BD338B">
        <w:tc>
          <w:tcPr>
            <w:tcW w:w="5685" w:type="dxa"/>
          </w:tcPr>
          <w:p w:rsidR="002B1CFD" w:rsidRPr="00DC7E0E" w:rsidRDefault="002B1CFD" w:rsidP="00BD338B">
            <w:pPr>
              <w:rPr>
                <w:sz w:val="28"/>
                <w:szCs w:val="28"/>
                <w:lang w:val="uk-UA"/>
              </w:rPr>
            </w:pPr>
            <w:r w:rsidRPr="00DC7E0E">
              <w:rPr>
                <w:sz w:val="28"/>
                <w:szCs w:val="28"/>
                <w:lang w:val="uk-UA"/>
              </w:rPr>
              <w:t>Індекс цін виробників (грудень до грудня попереднього року), %</w:t>
            </w:r>
          </w:p>
        </w:tc>
        <w:tc>
          <w:tcPr>
            <w:tcW w:w="1327" w:type="dxa"/>
          </w:tcPr>
          <w:p w:rsidR="002B1CFD" w:rsidRPr="00DC7E0E" w:rsidRDefault="002B1CFD" w:rsidP="00BD338B">
            <w:pPr>
              <w:jc w:val="center"/>
              <w:rPr>
                <w:sz w:val="28"/>
                <w:szCs w:val="28"/>
                <w:lang w:val="uk-UA"/>
              </w:rPr>
            </w:pPr>
            <w:r w:rsidRPr="00DC7E0E">
              <w:rPr>
                <w:sz w:val="28"/>
                <w:szCs w:val="28"/>
                <w:lang w:val="uk-UA"/>
              </w:rPr>
              <w:t>107,8</w:t>
            </w:r>
          </w:p>
        </w:tc>
        <w:tc>
          <w:tcPr>
            <w:tcW w:w="1327" w:type="dxa"/>
          </w:tcPr>
          <w:p w:rsidR="002B1CFD" w:rsidRPr="00DC7E0E" w:rsidRDefault="002B1CFD" w:rsidP="00BD338B">
            <w:pPr>
              <w:jc w:val="center"/>
              <w:rPr>
                <w:sz w:val="28"/>
                <w:szCs w:val="28"/>
                <w:lang w:val="uk-UA"/>
              </w:rPr>
            </w:pPr>
            <w:r w:rsidRPr="00DC7E0E">
              <w:rPr>
                <w:sz w:val="28"/>
                <w:szCs w:val="28"/>
                <w:lang w:val="uk-UA"/>
              </w:rPr>
              <w:t>106,2</w:t>
            </w:r>
          </w:p>
        </w:tc>
        <w:tc>
          <w:tcPr>
            <w:tcW w:w="1327" w:type="dxa"/>
          </w:tcPr>
          <w:p w:rsidR="002B1CFD" w:rsidRPr="00DC7E0E" w:rsidRDefault="002B1CFD" w:rsidP="00BD338B">
            <w:pPr>
              <w:jc w:val="center"/>
              <w:rPr>
                <w:sz w:val="28"/>
                <w:szCs w:val="28"/>
                <w:lang w:val="uk-UA"/>
              </w:rPr>
            </w:pPr>
            <w:r w:rsidRPr="00DC7E0E">
              <w:rPr>
                <w:sz w:val="28"/>
                <w:szCs w:val="28"/>
                <w:lang w:val="uk-UA"/>
              </w:rPr>
              <w:t>105,7</w:t>
            </w:r>
          </w:p>
        </w:tc>
      </w:tr>
    </w:tbl>
    <w:p w:rsidR="002B1CFD" w:rsidRPr="00DC7E0E" w:rsidRDefault="002B1CFD" w:rsidP="002B1CFD">
      <w:pPr>
        <w:pStyle w:val="a7"/>
        <w:ind w:left="1080"/>
        <w:rPr>
          <w:sz w:val="28"/>
          <w:szCs w:val="28"/>
          <w:lang w:val="uk-UA"/>
        </w:rPr>
      </w:pPr>
    </w:p>
    <w:p w:rsidR="002B1CFD" w:rsidRPr="00DC7E0E" w:rsidRDefault="002B1CFD" w:rsidP="002B1CFD">
      <w:pPr>
        <w:pStyle w:val="a7"/>
        <w:tabs>
          <w:tab w:val="left" w:pos="851"/>
        </w:tabs>
        <w:ind w:left="0" w:firstLine="567"/>
        <w:rPr>
          <w:sz w:val="28"/>
          <w:szCs w:val="28"/>
          <w:lang w:val="uk-UA"/>
        </w:rPr>
      </w:pPr>
      <w:r w:rsidRPr="00DC7E0E">
        <w:rPr>
          <w:sz w:val="28"/>
          <w:szCs w:val="28"/>
          <w:lang w:val="uk-UA"/>
        </w:rPr>
        <w:t>Під час розрахунку враховано такі соціальні стандарти:</w:t>
      </w:r>
    </w:p>
    <w:p w:rsidR="002B1CFD" w:rsidRPr="00DC7E0E" w:rsidRDefault="002B1CFD" w:rsidP="002B1CFD">
      <w:pPr>
        <w:pStyle w:val="a7"/>
        <w:numPr>
          <w:ilvl w:val="0"/>
          <w:numId w:val="21"/>
        </w:numPr>
        <w:tabs>
          <w:tab w:val="left" w:pos="851"/>
        </w:tabs>
        <w:ind w:left="0" w:firstLine="567"/>
        <w:jc w:val="both"/>
        <w:rPr>
          <w:sz w:val="28"/>
          <w:szCs w:val="28"/>
          <w:lang w:val="uk-UA"/>
        </w:rPr>
      </w:pPr>
      <w:r w:rsidRPr="00DC7E0E">
        <w:rPr>
          <w:sz w:val="28"/>
          <w:szCs w:val="28"/>
          <w:lang w:val="uk-UA"/>
        </w:rPr>
        <w:t>Мінімальна заробітна плата:</w:t>
      </w:r>
    </w:p>
    <w:p w:rsidR="002B1CFD" w:rsidRPr="00DC7E0E" w:rsidRDefault="002B1CFD" w:rsidP="002B1CFD">
      <w:pPr>
        <w:pStyle w:val="a7"/>
        <w:tabs>
          <w:tab w:val="left" w:pos="851"/>
        </w:tabs>
        <w:ind w:left="0" w:firstLine="567"/>
        <w:rPr>
          <w:sz w:val="28"/>
          <w:szCs w:val="28"/>
          <w:lang w:val="uk-UA"/>
        </w:rPr>
      </w:pPr>
      <w:r w:rsidRPr="00DC7E0E">
        <w:rPr>
          <w:sz w:val="28"/>
          <w:szCs w:val="28"/>
          <w:lang w:val="uk-UA"/>
        </w:rPr>
        <w:t>з 01 січня 2022 року – 6 500 гривень, з 01 жовтня 2022 року – 6 700 гривень;</w:t>
      </w:r>
    </w:p>
    <w:p w:rsidR="002B1CFD" w:rsidRPr="00DC7E0E" w:rsidRDefault="002B1CFD" w:rsidP="002B1CFD">
      <w:pPr>
        <w:pStyle w:val="a7"/>
        <w:tabs>
          <w:tab w:val="left" w:pos="851"/>
        </w:tabs>
        <w:ind w:left="0" w:firstLine="567"/>
        <w:rPr>
          <w:sz w:val="28"/>
          <w:szCs w:val="28"/>
          <w:lang w:val="uk-UA"/>
        </w:rPr>
      </w:pPr>
      <w:r w:rsidRPr="00DC7E0E">
        <w:rPr>
          <w:sz w:val="28"/>
          <w:szCs w:val="28"/>
          <w:lang w:val="uk-UA"/>
        </w:rPr>
        <w:t>з 01 січня 2023 року – 7 176 гривень;</w:t>
      </w:r>
    </w:p>
    <w:p w:rsidR="002B1CFD" w:rsidRPr="00DC7E0E" w:rsidRDefault="002B1CFD" w:rsidP="002B1CFD">
      <w:pPr>
        <w:pStyle w:val="a7"/>
        <w:tabs>
          <w:tab w:val="left" w:pos="851"/>
        </w:tabs>
        <w:ind w:left="0" w:firstLine="567"/>
        <w:rPr>
          <w:sz w:val="28"/>
          <w:szCs w:val="28"/>
          <w:lang w:val="uk-UA"/>
        </w:rPr>
      </w:pPr>
      <w:r w:rsidRPr="00DC7E0E">
        <w:rPr>
          <w:sz w:val="28"/>
          <w:szCs w:val="28"/>
          <w:lang w:val="uk-UA"/>
        </w:rPr>
        <w:t>з 01 січня 2024 року – 7 665 гривень.</w:t>
      </w:r>
    </w:p>
    <w:p w:rsidR="002B1CFD" w:rsidRPr="00DC7E0E" w:rsidRDefault="002B1CFD" w:rsidP="002B1CFD">
      <w:pPr>
        <w:pStyle w:val="a7"/>
        <w:numPr>
          <w:ilvl w:val="0"/>
          <w:numId w:val="21"/>
        </w:numPr>
        <w:tabs>
          <w:tab w:val="left" w:pos="851"/>
        </w:tabs>
        <w:ind w:left="0" w:firstLine="567"/>
        <w:jc w:val="both"/>
        <w:rPr>
          <w:sz w:val="28"/>
          <w:szCs w:val="28"/>
          <w:lang w:val="uk-UA"/>
        </w:rPr>
      </w:pPr>
      <w:r w:rsidRPr="00DC7E0E">
        <w:rPr>
          <w:sz w:val="28"/>
          <w:szCs w:val="28"/>
          <w:lang w:val="uk-UA"/>
        </w:rPr>
        <w:t>Посадовий оклад працівника 1 тарифного розряду Єдиної тарифної сітки:</w:t>
      </w:r>
    </w:p>
    <w:p w:rsidR="002B1CFD" w:rsidRPr="00DC7E0E" w:rsidRDefault="002B1CFD" w:rsidP="002B1CFD">
      <w:pPr>
        <w:pStyle w:val="a7"/>
        <w:tabs>
          <w:tab w:val="left" w:pos="851"/>
        </w:tabs>
        <w:ind w:left="0" w:firstLine="567"/>
        <w:rPr>
          <w:sz w:val="28"/>
          <w:szCs w:val="28"/>
          <w:lang w:val="uk-UA"/>
        </w:rPr>
      </w:pPr>
      <w:r w:rsidRPr="00DC7E0E">
        <w:rPr>
          <w:sz w:val="28"/>
          <w:szCs w:val="28"/>
          <w:lang w:val="uk-UA"/>
        </w:rPr>
        <w:t>з 01 січня 2022 року – 2 893 гривні, з 01 жовтня 2022 року – 2 982 гривні;</w:t>
      </w:r>
    </w:p>
    <w:p w:rsidR="002B1CFD" w:rsidRPr="00DC7E0E" w:rsidRDefault="002B1CFD" w:rsidP="002B1CFD">
      <w:pPr>
        <w:pStyle w:val="a7"/>
        <w:tabs>
          <w:tab w:val="left" w:pos="851"/>
        </w:tabs>
        <w:ind w:left="0" w:firstLine="567"/>
        <w:rPr>
          <w:sz w:val="28"/>
          <w:szCs w:val="28"/>
          <w:lang w:val="uk-UA"/>
        </w:rPr>
      </w:pPr>
      <w:r w:rsidRPr="00DC7E0E">
        <w:rPr>
          <w:sz w:val="28"/>
          <w:szCs w:val="28"/>
          <w:lang w:val="uk-UA"/>
        </w:rPr>
        <w:t>з 01 січня 2023 року – 3 193 гривні;</w:t>
      </w:r>
    </w:p>
    <w:p w:rsidR="002B1CFD" w:rsidRPr="00DC7E0E" w:rsidRDefault="002B1CFD" w:rsidP="002B1CFD">
      <w:pPr>
        <w:pStyle w:val="a7"/>
        <w:tabs>
          <w:tab w:val="left" w:pos="851"/>
        </w:tabs>
        <w:ind w:left="0" w:firstLine="567"/>
        <w:rPr>
          <w:sz w:val="28"/>
          <w:szCs w:val="28"/>
          <w:lang w:val="uk-UA"/>
        </w:rPr>
      </w:pPr>
      <w:r w:rsidRPr="00DC7E0E">
        <w:rPr>
          <w:sz w:val="28"/>
          <w:szCs w:val="28"/>
          <w:lang w:val="uk-UA"/>
        </w:rPr>
        <w:t>з 01 січня 2024 року – 3 411 гривень.</w:t>
      </w:r>
    </w:p>
    <w:p w:rsidR="002B1CFD" w:rsidRPr="00DC7E0E" w:rsidRDefault="002B1CFD" w:rsidP="002B1CFD">
      <w:pPr>
        <w:pStyle w:val="a7"/>
        <w:numPr>
          <w:ilvl w:val="0"/>
          <w:numId w:val="21"/>
        </w:numPr>
        <w:tabs>
          <w:tab w:val="left" w:pos="851"/>
        </w:tabs>
        <w:jc w:val="both"/>
        <w:rPr>
          <w:bCs/>
          <w:sz w:val="28"/>
          <w:szCs w:val="28"/>
          <w:lang w:val="uk-UA"/>
        </w:rPr>
      </w:pPr>
      <w:r w:rsidRPr="00DC7E0E">
        <w:rPr>
          <w:bCs/>
          <w:sz w:val="28"/>
          <w:szCs w:val="28"/>
          <w:lang w:val="uk-UA"/>
        </w:rPr>
        <w:t>Розмір прожиткового мінімуму:</w:t>
      </w:r>
    </w:p>
    <w:p w:rsidR="00813750" w:rsidRPr="00DC7E0E" w:rsidRDefault="00813750" w:rsidP="00813750">
      <w:pPr>
        <w:pStyle w:val="a7"/>
        <w:tabs>
          <w:tab w:val="left" w:pos="851"/>
        </w:tabs>
        <w:ind w:left="927"/>
        <w:jc w:val="both"/>
        <w:rPr>
          <w:bCs/>
          <w:sz w:val="28"/>
          <w:szCs w:val="28"/>
          <w:lang w:val="uk-UA"/>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770"/>
        <w:gridCol w:w="962"/>
        <w:gridCol w:w="962"/>
        <w:gridCol w:w="960"/>
      </w:tblGrid>
      <w:tr w:rsidR="002B1CFD" w:rsidRPr="00DC7E0E" w:rsidTr="00813750">
        <w:trPr>
          <w:trHeight w:val="283"/>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center"/>
            </w:pPr>
            <w:r w:rsidRPr="00DC7E0E">
              <w:rPr>
                <w:sz w:val="28"/>
                <w:szCs w:val="28"/>
              </w:rPr>
              <w:t>Показники</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center"/>
            </w:pPr>
            <w:r w:rsidRPr="00DC7E0E">
              <w:rPr>
                <w:sz w:val="28"/>
                <w:szCs w:val="28"/>
              </w:rPr>
              <w:t>2022 рік</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center"/>
            </w:pPr>
            <w:r w:rsidRPr="00DC7E0E">
              <w:rPr>
                <w:sz w:val="28"/>
                <w:szCs w:val="28"/>
              </w:rPr>
              <w:t>2023 рік</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center"/>
            </w:pPr>
            <w:r w:rsidRPr="00DC7E0E">
              <w:rPr>
                <w:sz w:val="28"/>
                <w:szCs w:val="28"/>
              </w:rPr>
              <w:t>2024 рік</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rStyle w:val="af7"/>
                <w:sz w:val="28"/>
                <w:szCs w:val="28"/>
              </w:rPr>
              <w:t>В розрахунку на одну особу:</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rStyle w:val="af7"/>
                <w:sz w:val="28"/>
                <w:szCs w:val="28"/>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rStyle w:val="af7"/>
                <w:sz w:val="28"/>
                <w:szCs w:val="28"/>
              </w:rPr>
              <w:t> </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rStyle w:val="af7"/>
                <w:sz w:val="28"/>
                <w:szCs w:val="28"/>
              </w:rPr>
              <w:t> </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2393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2589</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2778</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2508</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2713</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2911</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2589</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2778</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2972</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rStyle w:val="af7"/>
                <w:sz w:val="28"/>
                <w:szCs w:val="28"/>
              </w:rPr>
              <w:t>Для основних соціальних і демографічних груп населення:</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bCs/>
                <w:sz w:val="28"/>
                <w:szCs w:val="28"/>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bCs/>
                <w:sz w:val="28"/>
                <w:szCs w:val="28"/>
              </w:rPr>
              <w:t> </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bCs/>
                <w:sz w:val="28"/>
                <w:szCs w:val="28"/>
              </w:rPr>
              <w:t> </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u w:val="single"/>
              </w:rPr>
              <w:t>дітей віком до 6 років:</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sz w:val="28"/>
                <w:szCs w:val="28"/>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sz w:val="28"/>
                <w:szCs w:val="28"/>
              </w:rPr>
              <w:t> </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sz w:val="28"/>
                <w:szCs w:val="28"/>
              </w:rPr>
              <w:t> </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2100</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2272</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2438</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2201</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2381</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2555</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2272</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2438</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2609</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u w:val="single"/>
              </w:rPr>
              <w:lastRenderedPageBreak/>
              <w:t>дітей віком від 6 до 18 років:</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sz w:val="28"/>
                <w:szCs w:val="28"/>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sz w:val="28"/>
                <w:szCs w:val="28"/>
              </w:rPr>
              <w:t> </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sz w:val="28"/>
                <w:szCs w:val="28"/>
              </w:rPr>
              <w:t> </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2618</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2833</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3040</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2744</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2969</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3186</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2833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3040</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3253</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u w:val="single"/>
              </w:rPr>
              <w:t>працездатних осіб:</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sz w:val="28"/>
                <w:szCs w:val="28"/>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sz w:val="28"/>
                <w:szCs w:val="28"/>
              </w:rPr>
              <w:t> </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sz w:val="28"/>
                <w:szCs w:val="28"/>
              </w:rPr>
              <w:t> </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2481</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2684</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2880</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sz w:val="28"/>
                <w:szCs w:val="28"/>
              </w:rPr>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2600</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2813</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sz w:val="28"/>
                <w:szCs w:val="28"/>
              </w:rPr>
              <w:t>3018</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2684</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2880</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3082</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rPr>
                <w:u w:val="single"/>
              </w:rPr>
              <w:t>осіб, які втратили працездатність:</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rPr>
              <w:t> </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rPr>
                <w:rStyle w:val="aff3"/>
              </w:rPr>
              <w:t> </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1934</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2093</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2246</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2027</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2193</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2354</w:t>
            </w:r>
          </w:p>
        </w:tc>
      </w:tr>
      <w:tr w:rsidR="002B1CFD" w:rsidRPr="00DC7E0E" w:rsidTr="00813750">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pPr>
            <w:r w:rsidRPr="00DC7E0E">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2093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2246</w:t>
            </w:r>
          </w:p>
        </w:tc>
        <w:tc>
          <w:tcPr>
            <w:tcW w:w="497" w:type="pct"/>
            <w:tcBorders>
              <w:top w:val="outset" w:sz="6" w:space="0" w:color="auto"/>
              <w:left w:val="outset" w:sz="6" w:space="0" w:color="auto"/>
              <w:bottom w:val="outset" w:sz="6" w:space="0" w:color="auto"/>
              <w:right w:val="outset" w:sz="6" w:space="0" w:color="auto"/>
            </w:tcBorders>
            <w:shd w:val="clear" w:color="auto" w:fill="auto"/>
            <w:hideMark/>
          </w:tcPr>
          <w:p w:rsidR="002B1CFD" w:rsidRPr="00DC7E0E" w:rsidRDefault="002B1CFD" w:rsidP="00BD338B">
            <w:pPr>
              <w:pStyle w:val="a9"/>
              <w:spacing w:before="0" w:beforeAutospacing="0" w:after="150" w:afterAutospacing="0"/>
              <w:jc w:val="right"/>
            </w:pPr>
            <w:r w:rsidRPr="00DC7E0E">
              <w:t>2403</w:t>
            </w:r>
          </w:p>
        </w:tc>
      </w:tr>
    </w:tbl>
    <w:p w:rsidR="00813750" w:rsidRPr="00DC7E0E" w:rsidRDefault="00813750" w:rsidP="00813750">
      <w:pPr>
        <w:jc w:val="both"/>
        <w:rPr>
          <w:sz w:val="28"/>
          <w:szCs w:val="28"/>
          <w:lang w:val="uk-UA"/>
        </w:rPr>
      </w:pPr>
    </w:p>
    <w:p w:rsidR="00813750" w:rsidRPr="00DC7E0E" w:rsidRDefault="00813750" w:rsidP="00813750">
      <w:pPr>
        <w:jc w:val="both"/>
        <w:rPr>
          <w:sz w:val="28"/>
          <w:szCs w:val="28"/>
          <w:lang w:val="uk-UA"/>
        </w:rPr>
      </w:pPr>
      <w:r w:rsidRPr="00DC7E0E">
        <w:rPr>
          <w:sz w:val="28"/>
          <w:szCs w:val="28"/>
          <w:lang w:val="uk-UA"/>
        </w:rPr>
        <w:t>Основні прогнозні показники економічного і соціального розвитку м. Миколаєва:</w:t>
      </w:r>
    </w:p>
    <w:p w:rsidR="00813750" w:rsidRPr="00DC7E0E" w:rsidRDefault="00813750" w:rsidP="00813750">
      <w:pPr>
        <w:jc w:val="center"/>
        <w:rPr>
          <w:sz w:val="28"/>
          <w:szCs w:val="28"/>
          <w:lang w:val="uk-UA"/>
        </w:rPr>
      </w:pPr>
    </w:p>
    <w:tbl>
      <w:tblPr>
        <w:tblpPr w:leftFromText="180" w:rightFromText="180" w:vertAnchor="text" w:tblpX="2" w:tblpY="1"/>
        <w:tblOverlap w:val="never"/>
        <w:tblW w:w="97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tblPr>
      <w:tblGrid>
        <w:gridCol w:w="3793"/>
        <w:gridCol w:w="1134"/>
        <w:gridCol w:w="1417"/>
        <w:gridCol w:w="1134"/>
        <w:gridCol w:w="1134"/>
        <w:gridCol w:w="1126"/>
      </w:tblGrid>
      <w:tr w:rsidR="00813750" w:rsidRPr="00DC7E0E" w:rsidTr="00BD338B">
        <w:trPr>
          <w:tblHeader/>
        </w:trPr>
        <w:tc>
          <w:tcPr>
            <w:tcW w:w="3793" w:type="dxa"/>
          </w:tcPr>
          <w:p w:rsidR="00813750" w:rsidRPr="00DC7E0E" w:rsidRDefault="00813750" w:rsidP="00BD338B">
            <w:pPr>
              <w:jc w:val="center"/>
              <w:rPr>
                <w:lang w:val="uk-UA"/>
              </w:rPr>
            </w:pPr>
            <w:r w:rsidRPr="00DC7E0E">
              <w:rPr>
                <w:lang w:val="uk-UA"/>
              </w:rPr>
              <w:t>Найменування показника, одиниця виміру</w:t>
            </w:r>
          </w:p>
        </w:tc>
        <w:tc>
          <w:tcPr>
            <w:tcW w:w="1134" w:type="dxa"/>
          </w:tcPr>
          <w:p w:rsidR="00813750" w:rsidRPr="00DC7E0E" w:rsidRDefault="00813750" w:rsidP="00BD338B">
            <w:pPr>
              <w:jc w:val="center"/>
              <w:rPr>
                <w:lang w:val="uk-UA"/>
              </w:rPr>
            </w:pPr>
            <w:r w:rsidRPr="00DC7E0E">
              <w:rPr>
                <w:lang w:val="uk-UA"/>
              </w:rPr>
              <w:t>2020 рік</w:t>
            </w:r>
          </w:p>
          <w:p w:rsidR="00813750" w:rsidRPr="00DC7E0E" w:rsidRDefault="00813750" w:rsidP="00BD338B">
            <w:pPr>
              <w:jc w:val="center"/>
              <w:rPr>
                <w:lang w:val="uk-UA"/>
              </w:rPr>
            </w:pPr>
            <w:r w:rsidRPr="00DC7E0E">
              <w:rPr>
                <w:lang w:val="uk-UA"/>
              </w:rPr>
              <w:t>(звіт)</w:t>
            </w:r>
          </w:p>
        </w:tc>
        <w:tc>
          <w:tcPr>
            <w:tcW w:w="1417" w:type="dxa"/>
          </w:tcPr>
          <w:p w:rsidR="00813750" w:rsidRPr="00DC7E0E" w:rsidRDefault="00813750" w:rsidP="00BD338B">
            <w:pPr>
              <w:jc w:val="center"/>
              <w:rPr>
                <w:lang w:val="uk-UA"/>
              </w:rPr>
            </w:pPr>
            <w:r w:rsidRPr="00DC7E0E">
              <w:rPr>
                <w:lang w:val="uk-UA"/>
              </w:rPr>
              <w:t>2021 рік (очікувані)</w:t>
            </w:r>
          </w:p>
        </w:tc>
        <w:tc>
          <w:tcPr>
            <w:tcW w:w="1134" w:type="dxa"/>
          </w:tcPr>
          <w:p w:rsidR="00813750" w:rsidRPr="00DC7E0E" w:rsidRDefault="00813750" w:rsidP="00BD338B">
            <w:pPr>
              <w:jc w:val="center"/>
              <w:rPr>
                <w:lang w:val="uk-UA"/>
              </w:rPr>
            </w:pPr>
            <w:r w:rsidRPr="00DC7E0E">
              <w:rPr>
                <w:lang w:val="uk-UA"/>
              </w:rPr>
              <w:t>2022 рік</w:t>
            </w:r>
          </w:p>
          <w:p w:rsidR="00813750" w:rsidRPr="00DC7E0E" w:rsidRDefault="00813750" w:rsidP="00BD338B">
            <w:pPr>
              <w:jc w:val="center"/>
              <w:rPr>
                <w:lang w:val="uk-UA"/>
              </w:rPr>
            </w:pPr>
            <w:r w:rsidRPr="00DC7E0E">
              <w:rPr>
                <w:lang w:val="uk-UA"/>
              </w:rPr>
              <w:t>(план)</w:t>
            </w:r>
          </w:p>
        </w:tc>
        <w:tc>
          <w:tcPr>
            <w:tcW w:w="1134" w:type="dxa"/>
          </w:tcPr>
          <w:p w:rsidR="00813750" w:rsidRPr="00DC7E0E" w:rsidRDefault="00813750" w:rsidP="00BD338B">
            <w:pPr>
              <w:jc w:val="center"/>
              <w:rPr>
                <w:lang w:val="uk-UA"/>
              </w:rPr>
            </w:pPr>
            <w:r w:rsidRPr="00DC7E0E">
              <w:rPr>
                <w:lang w:val="uk-UA"/>
              </w:rPr>
              <w:t>2023 рік</w:t>
            </w:r>
          </w:p>
          <w:p w:rsidR="00813750" w:rsidRPr="00DC7E0E" w:rsidRDefault="00813750" w:rsidP="00BD338B">
            <w:pPr>
              <w:jc w:val="center"/>
              <w:rPr>
                <w:lang w:val="uk-UA"/>
              </w:rPr>
            </w:pPr>
            <w:r w:rsidRPr="00DC7E0E">
              <w:rPr>
                <w:lang w:val="uk-UA"/>
              </w:rPr>
              <w:t>(план)</w:t>
            </w:r>
          </w:p>
        </w:tc>
        <w:tc>
          <w:tcPr>
            <w:tcW w:w="1126" w:type="dxa"/>
          </w:tcPr>
          <w:p w:rsidR="00813750" w:rsidRPr="00DC7E0E" w:rsidRDefault="00813750" w:rsidP="00BD338B">
            <w:pPr>
              <w:jc w:val="center"/>
              <w:rPr>
                <w:lang w:val="uk-UA"/>
              </w:rPr>
            </w:pPr>
            <w:r w:rsidRPr="00DC7E0E">
              <w:rPr>
                <w:lang w:val="uk-UA"/>
              </w:rPr>
              <w:t>2024 рік</w:t>
            </w:r>
          </w:p>
          <w:p w:rsidR="00813750" w:rsidRPr="00DC7E0E" w:rsidRDefault="00813750" w:rsidP="00BD338B">
            <w:pPr>
              <w:jc w:val="center"/>
              <w:rPr>
                <w:lang w:val="uk-UA"/>
              </w:rPr>
            </w:pPr>
            <w:r w:rsidRPr="00DC7E0E">
              <w:rPr>
                <w:lang w:val="uk-UA"/>
              </w:rPr>
              <w:t>(план)</w:t>
            </w:r>
          </w:p>
        </w:tc>
      </w:tr>
      <w:tr w:rsidR="00813750" w:rsidRPr="00DC7E0E" w:rsidTr="00BD338B">
        <w:tc>
          <w:tcPr>
            <w:tcW w:w="3793" w:type="dxa"/>
            <w:tcBorders>
              <w:left w:val="single" w:sz="4" w:space="0" w:color="auto"/>
            </w:tcBorders>
          </w:tcPr>
          <w:p w:rsidR="00813750" w:rsidRPr="00DC7E0E" w:rsidRDefault="00813750" w:rsidP="00BD338B">
            <w:pPr>
              <w:rPr>
                <w:lang w:val="uk-UA"/>
              </w:rPr>
            </w:pPr>
            <w:r w:rsidRPr="00DC7E0E">
              <w:rPr>
                <w:lang w:val="uk-UA"/>
              </w:rPr>
              <w:t xml:space="preserve">Обсяг реалізованої промислової продукції у діючих цінах – всього, </w:t>
            </w:r>
            <w:proofErr w:type="spellStart"/>
            <w:r w:rsidRPr="00DC7E0E">
              <w:rPr>
                <w:lang w:val="uk-UA"/>
              </w:rPr>
              <w:t>млн</w:t>
            </w:r>
            <w:proofErr w:type="spellEnd"/>
            <w:r w:rsidRPr="00DC7E0E">
              <w:rPr>
                <w:lang w:val="uk-UA"/>
              </w:rPr>
              <w:t xml:space="preserve"> грн.</w:t>
            </w:r>
          </w:p>
        </w:tc>
        <w:tc>
          <w:tcPr>
            <w:tcW w:w="1134" w:type="dxa"/>
          </w:tcPr>
          <w:p w:rsidR="00813750" w:rsidRPr="00DC7E0E" w:rsidRDefault="00813750" w:rsidP="00BD338B">
            <w:pPr>
              <w:jc w:val="center"/>
              <w:rPr>
                <w:lang w:val="uk-UA"/>
              </w:rPr>
            </w:pPr>
            <w:r w:rsidRPr="00DC7E0E">
              <w:rPr>
                <w:lang w:val="uk-UA"/>
              </w:rPr>
              <w:t>19075,8</w:t>
            </w:r>
          </w:p>
        </w:tc>
        <w:tc>
          <w:tcPr>
            <w:tcW w:w="1417" w:type="dxa"/>
          </w:tcPr>
          <w:p w:rsidR="00813750" w:rsidRPr="00DC7E0E" w:rsidRDefault="00813750" w:rsidP="00BD338B">
            <w:pPr>
              <w:jc w:val="center"/>
              <w:rPr>
                <w:lang w:val="uk-UA"/>
              </w:rPr>
            </w:pPr>
            <w:r w:rsidRPr="00DC7E0E">
              <w:rPr>
                <w:lang w:val="uk-UA"/>
              </w:rPr>
              <w:t>19667,1</w:t>
            </w:r>
          </w:p>
        </w:tc>
        <w:tc>
          <w:tcPr>
            <w:tcW w:w="1134" w:type="dxa"/>
          </w:tcPr>
          <w:p w:rsidR="00813750" w:rsidRPr="00DC7E0E" w:rsidRDefault="00813750" w:rsidP="00BD338B">
            <w:pPr>
              <w:jc w:val="center"/>
              <w:rPr>
                <w:lang w:val="uk-UA"/>
              </w:rPr>
            </w:pPr>
            <w:r w:rsidRPr="00DC7E0E">
              <w:rPr>
                <w:lang w:val="uk-UA"/>
              </w:rPr>
              <w:t>20316,2</w:t>
            </w:r>
          </w:p>
        </w:tc>
        <w:tc>
          <w:tcPr>
            <w:tcW w:w="1134" w:type="dxa"/>
          </w:tcPr>
          <w:p w:rsidR="00813750" w:rsidRPr="00DC7E0E" w:rsidRDefault="00813750" w:rsidP="00BD338B">
            <w:pPr>
              <w:jc w:val="center"/>
              <w:rPr>
                <w:lang w:val="uk-UA"/>
              </w:rPr>
            </w:pPr>
            <w:r w:rsidRPr="00DC7E0E">
              <w:rPr>
                <w:lang w:val="uk-UA"/>
              </w:rPr>
              <w:t>21149,1</w:t>
            </w:r>
          </w:p>
        </w:tc>
        <w:tc>
          <w:tcPr>
            <w:tcW w:w="1126" w:type="dxa"/>
          </w:tcPr>
          <w:p w:rsidR="00813750" w:rsidRPr="00DC7E0E" w:rsidRDefault="00813750" w:rsidP="00BD338B">
            <w:pPr>
              <w:jc w:val="center"/>
              <w:rPr>
                <w:lang w:val="uk-UA"/>
              </w:rPr>
            </w:pPr>
            <w:r w:rsidRPr="00DC7E0E">
              <w:rPr>
                <w:lang w:val="uk-UA"/>
              </w:rPr>
              <w:t>22016,2</w:t>
            </w:r>
          </w:p>
        </w:tc>
      </w:tr>
      <w:tr w:rsidR="00813750" w:rsidRPr="00DC7E0E" w:rsidTr="00BD338B">
        <w:tc>
          <w:tcPr>
            <w:tcW w:w="3793" w:type="dxa"/>
            <w:tcBorders>
              <w:left w:val="single" w:sz="4" w:space="0" w:color="auto"/>
            </w:tcBorders>
          </w:tcPr>
          <w:p w:rsidR="00813750" w:rsidRPr="00DC7E0E" w:rsidRDefault="00813750" w:rsidP="00BD338B">
            <w:pPr>
              <w:rPr>
                <w:lang w:val="uk-UA"/>
              </w:rPr>
            </w:pPr>
            <w:r w:rsidRPr="00DC7E0E">
              <w:rPr>
                <w:lang w:val="uk-UA"/>
              </w:rPr>
              <w:t xml:space="preserve">Обсяг реалізованої промислової продукції  у розрахунку на одну особу, тис. </w:t>
            </w:r>
            <w:proofErr w:type="spellStart"/>
            <w:r w:rsidRPr="00DC7E0E">
              <w:rPr>
                <w:lang w:val="uk-UA"/>
              </w:rPr>
              <w:t>грн</w:t>
            </w:r>
            <w:proofErr w:type="spellEnd"/>
          </w:p>
        </w:tc>
        <w:tc>
          <w:tcPr>
            <w:tcW w:w="1134" w:type="dxa"/>
          </w:tcPr>
          <w:p w:rsidR="00813750" w:rsidRPr="00DC7E0E" w:rsidRDefault="00813750" w:rsidP="00BD338B">
            <w:pPr>
              <w:jc w:val="center"/>
              <w:rPr>
                <w:lang w:val="uk-UA"/>
              </w:rPr>
            </w:pPr>
            <w:r w:rsidRPr="00DC7E0E">
              <w:rPr>
                <w:lang w:val="uk-UA"/>
              </w:rPr>
              <w:t>39,6</w:t>
            </w:r>
          </w:p>
        </w:tc>
        <w:tc>
          <w:tcPr>
            <w:tcW w:w="1417" w:type="dxa"/>
          </w:tcPr>
          <w:p w:rsidR="00813750" w:rsidRPr="00DC7E0E" w:rsidRDefault="00813750" w:rsidP="00BD338B">
            <w:pPr>
              <w:jc w:val="center"/>
              <w:rPr>
                <w:lang w:val="uk-UA"/>
              </w:rPr>
            </w:pPr>
            <w:r w:rsidRPr="00DC7E0E">
              <w:rPr>
                <w:lang w:val="uk-UA"/>
              </w:rPr>
              <w:t>41,6</w:t>
            </w:r>
          </w:p>
        </w:tc>
        <w:tc>
          <w:tcPr>
            <w:tcW w:w="1134" w:type="dxa"/>
          </w:tcPr>
          <w:p w:rsidR="00813750" w:rsidRPr="00DC7E0E" w:rsidRDefault="00813750" w:rsidP="00BD338B">
            <w:pPr>
              <w:jc w:val="center"/>
              <w:rPr>
                <w:lang w:val="uk-UA"/>
              </w:rPr>
            </w:pPr>
            <w:r w:rsidRPr="00DC7E0E">
              <w:rPr>
                <w:lang w:val="uk-UA"/>
              </w:rPr>
              <w:t>43,3</w:t>
            </w:r>
          </w:p>
        </w:tc>
        <w:tc>
          <w:tcPr>
            <w:tcW w:w="1134" w:type="dxa"/>
          </w:tcPr>
          <w:p w:rsidR="00813750" w:rsidRPr="00DC7E0E" w:rsidRDefault="00813750" w:rsidP="00BD338B">
            <w:pPr>
              <w:jc w:val="center"/>
              <w:rPr>
                <w:lang w:val="uk-UA"/>
              </w:rPr>
            </w:pPr>
            <w:r w:rsidRPr="00DC7E0E">
              <w:rPr>
                <w:lang w:val="uk-UA"/>
              </w:rPr>
              <w:t>45,3</w:t>
            </w:r>
          </w:p>
        </w:tc>
        <w:tc>
          <w:tcPr>
            <w:tcW w:w="1126" w:type="dxa"/>
          </w:tcPr>
          <w:p w:rsidR="00813750" w:rsidRPr="00DC7E0E" w:rsidRDefault="00813750" w:rsidP="00BD338B">
            <w:pPr>
              <w:jc w:val="center"/>
              <w:rPr>
                <w:lang w:val="uk-UA"/>
              </w:rPr>
            </w:pPr>
            <w:r w:rsidRPr="00DC7E0E">
              <w:rPr>
                <w:lang w:val="uk-UA"/>
              </w:rPr>
              <w:t>47,4</w:t>
            </w:r>
          </w:p>
        </w:tc>
      </w:tr>
      <w:tr w:rsidR="00813750" w:rsidRPr="00DC7E0E" w:rsidTr="00BD338B">
        <w:tc>
          <w:tcPr>
            <w:tcW w:w="3793" w:type="dxa"/>
          </w:tcPr>
          <w:p w:rsidR="00813750" w:rsidRPr="00DC7E0E" w:rsidRDefault="00813750" w:rsidP="00BD338B">
            <w:pPr>
              <w:rPr>
                <w:lang w:val="uk-UA"/>
              </w:rPr>
            </w:pPr>
            <w:r w:rsidRPr="00DC7E0E">
              <w:rPr>
                <w:lang w:val="uk-UA"/>
              </w:rPr>
              <w:t>Середньомісячна заробітна плата одного штатного працівника, грн.</w:t>
            </w:r>
          </w:p>
        </w:tc>
        <w:tc>
          <w:tcPr>
            <w:tcW w:w="1134" w:type="dxa"/>
          </w:tcPr>
          <w:p w:rsidR="00813750" w:rsidRPr="00DC7E0E" w:rsidRDefault="00813750" w:rsidP="00BD338B">
            <w:pPr>
              <w:jc w:val="center"/>
              <w:rPr>
                <w:highlight w:val="yellow"/>
                <w:lang w:val="uk-UA"/>
              </w:rPr>
            </w:pPr>
            <w:r w:rsidRPr="00DC7E0E">
              <w:rPr>
                <w:lang w:val="uk-UA"/>
              </w:rPr>
              <w:t>11277,0</w:t>
            </w:r>
          </w:p>
        </w:tc>
        <w:tc>
          <w:tcPr>
            <w:tcW w:w="1417" w:type="dxa"/>
          </w:tcPr>
          <w:p w:rsidR="00813750" w:rsidRPr="00DC7E0E" w:rsidRDefault="00813750" w:rsidP="00BD338B">
            <w:pPr>
              <w:jc w:val="center"/>
              <w:rPr>
                <w:lang w:val="uk-UA"/>
              </w:rPr>
            </w:pPr>
            <w:r w:rsidRPr="00DC7E0E">
              <w:rPr>
                <w:lang w:val="uk-UA"/>
              </w:rPr>
              <w:t>13098,0</w:t>
            </w:r>
          </w:p>
        </w:tc>
        <w:tc>
          <w:tcPr>
            <w:tcW w:w="1134" w:type="dxa"/>
          </w:tcPr>
          <w:p w:rsidR="00813750" w:rsidRPr="00DC7E0E" w:rsidRDefault="00813750" w:rsidP="00BD338B">
            <w:pPr>
              <w:jc w:val="center"/>
              <w:rPr>
                <w:lang w:val="uk-UA"/>
              </w:rPr>
            </w:pPr>
            <w:r w:rsidRPr="00DC7E0E">
              <w:rPr>
                <w:lang w:val="uk-UA"/>
              </w:rPr>
              <w:t>14800,0</w:t>
            </w:r>
          </w:p>
        </w:tc>
        <w:tc>
          <w:tcPr>
            <w:tcW w:w="1134" w:type="dxa"/>
          </w:tcPr>
          <w:p w:rsidR="00813750" w:rsidRPr="00DC7E0E" w:rsidRDefault="00813750" w:rsidP="00BD338B">
            <w:pPr>
              <w:jc w:val="center"/>
              <w:rPr>
                <w:lang w:val="uk-UA"/>
              </w:rPr>
            </w:pPr>
            <w:r w:rsidRPr="00DC7E0E">
              <w:rPr>
                <w:lang w:val="uk-UA"/>
              </w:rPr>
              <w:t>16488,0</w:t>
            </w:r>
          </w:p>
        </w:tc>
        <w:tc>
          <w:tcPr>
            <w:tcW w:w="1126" w:type="dxa"/>
          </w:tcPr>
          <w:p w:rsidR="00813750" w:rsidRPr="00DC7E0E" w:rsidRDefault="00813750" w:rsidP="00BD338B">
            <w:pPr>
              <w:jc w:val="center"/>
              <w:rPr>
                <w:highlight w:val="yellow"/>
                <w:lang w:val="uk-UA"/>
              </w:rPr>
            </w:pPr>
            <w:r w:rsidRPr="00DC7E0E">
              <w:rPr>
                <w:lang w:val="uk-UA"/>
              </w:rPr>
              <w:t>18250,0</w:t>
            </w:r>
          </w:p>
        </w:tc>
      </w:tr>
      <w:tr w:rsidR="00813750" w:rsidRPr="00DC7E0E" w:rsidTr="00BD338B">
        <w:trPr>
          <w:trHeight w:val="696"/>
        </w:trPr>
        <w:tc>
          <w:tcPr>
            <w:tcW w:w="3793" w:type="dxa"/>
            <w:vAlign w:val="center"/>
          </w:tcPr>
          <w:p w:rsidR="00813750" w:rsidRPr="00DC7E0E" w:rsidRDefault="00813750" w:rsidP="00BD338B">
            <w:pPr>
              <w:rPr>
                <w:lang w:val="uk-UA"/>
              </w:rPr>
            </w:pPr>
            <w:r w:rsidRPr="00DC7E0E">
              <w:rPr>
                <w:lang w:val="uk-UA"/>
              </w:rPr>
              <w:t>Кількість  малих підприємств/ на 10 тис. осіб наявного населення, одиниць</w:t>
            </w:r>
          </w:p>
        </w:tc>
        <w:tc>
          <w:tcPr>
            <w:tcW w:w="1134" w:type="dxa"/>
          </w:tcPr>
          <w:p w:rsidR="00813750" w:rsidRPr="00DC7E0E" w:rsidRDefault="00813750" w:rsidP="00BD338B">
            <w:pPr>
              <w:jc w:val="center"/>
              <w:rPr>
                <w:lang w:val="uk-UA"/>
              </w:rPr>
            </w:pPr>
            <w:r w:rsidRPr="00DC7E0E">
              <w:rPr>
                <w:lang w:val="uk-UA"/>
              </w:rPr>
              <w:t>6800/</w:t>
            </w:r>
          </w:p>
          <w:p w:rsidR="00813750" w:rsidRPr="00DC7E0E" w:rsidRDefault="00813750" w:rsidP="00BD338B">
            <w:pPr>
              <w:jc w:val="center"/>
              <w:rPr>
                <w:lang w:val="uk-UA"/>
              </w:rPr>
            </w:pPr>
            <w:r w:rsidRPr="00DC7E0E">
              <w:rPr>
                <w:lang w:val="uk-UA"/>
              </w:rPr>
              <w:t>143</w:t>
            </w:r>
          </w:p>
        </w:tc>
        <w:tc>
          <w:tcPr>
            <w:tcW w:w="1417" w:type="dxa"/>
          </w:tcPr>
          <w:p w:rsidR="00813750" w:rsidRPr="00DC7E0E" w:rsidRDefault="00813750" w:rsidP="00BD338B">
            <w:pPr>
              <w:jc w:val="center"/>
              <w:rPr>
                <w:lang w:val="uk-UA"/>
              </w:rPr>
            </w:pPr>
            <w:r w:rsidRPr="00DC7E0E">
              <w:rPr>
                <w:lang w:val="uk-UA"/>
              </w:rPr>
              <w:t>6900/</w:t>
            </w:r>
          </w:p>
          <w:p w:rsidR="00813750" w:rsidRPr="00DC7E0E" w:rsidRDefault="00813750" w:rsidP="00BD338B">
            <w:pPr>
              <w:jc w:val="center"/>
              <w:rPr>
                <w:lang w:val="uk-UA"/>
              </w:rPr>
            </w:pPr>
            <w:r w:rsidRPr="00DC7E0E">
              <w:rPr>
                <w:lang w:val="uk-UA"/>
              </w:rPr>
              <w:t>146</w:t>
            </w:r>
          </w:p>
        </w:tc>
        <w:tc>
          <w:tcPr>
            <w:tcW w:w="1134" w:type="dxa"/>
          </w:tcPr>
          <w:p w:rsidR="00813750" w:rsidRPr="00DC7E0E" w:rsidRDefault="00813750" w:rsidP="00BD338B">
            <w:pPr>
              <w:jc w:val="center"/>
              <w:rPr>
                <w:lang w:val="uk-UA"/>
              </w:rPr>
            </w:pPr>
            <w:r w:rsidRPr="00DC7E0E">
              <w:rPr>
                <w:lang w:val="uk-UA"/>
              </w:rPr>
              <w:t>7000/</w:t>
            </w:r>
          </w:p>
          <w:p w:rsidR="00813750" w:rsidRPr="00DC7E0E" w:rsidRDefault="00813750" w:rsidP="00BD338B">
            <w:pPr>
              <w:jc w:val="center"/>
              <w:rPr>
                <w:lang w:val="uk-UA"/>
              </w:rPr>
            </w:pPr>
            <w:r w:rsidRPr="00DC7E0E">
              <w:rPr>
                <w:lang w:val="uk-UA"/>
              </w:rPr>
              <w:t>149</w:t>
            </w:r>
          </w:p>
        </w:tc>
        <w:tc>
          <w:tcPr>
            <w:tcW w:w="1134" w:type="dxa"/>
          </w:tcPr>
          <w:p w:rsidR="00813750" w:rsidRPr="00DC7E0E" w:rsidRDefault="00813750" w:rsidP="00BD338B">
            <w:pPr>
              <w:jc w:val="center"/>
              <w:rPr>
                <w:lang w:val="uk-UA"/>
              </w:rPr>
            </w:pPr>
            <w:r w:rsidRPr="00DC7E0E">
              <w:rPr>
                <w:lang w:val="uk-UA"/>
              </w:rPr>
              <w:t>7100/</w:t>
            </w:r>
          </w:p>
          <w:p w:rsidR="00813750" w:rsidRPr="00DC7E0E" w:rsidRDefault="00813750" w:rsidP="00BD338B">
            <w:pPr>
              <w:jc w:val="center"/>
              <w:rPr>
                <w:lang w:val="uk-UA"/>
              </w:rPr>
            </w:pPr>
            <w:r w:rsidRPr="00DC7E0E">
              <w:rPr>
                <w:lang w:val="uk-UA"/>
              </w:rPr>
              <w:t>152</w:t>
            </w:r>
          </w:p>
        </w:tc>
        <w:tc>
          <w:tcPr>
            <w:tcW w:w="1126" w:type="dxa"/>
          </w:tcPr>
          <w:p w:rsidR="00813750" w:rsidRPr="00DC7E0E" w:rsidRDefault="00813750" w:rsidP="00BD338B">
            <w:pPr>
              <w:jc w:val="center"/>
              <w:rPr>
                <w:lang w:val="uk-UA"/>
              </w:rPr>
            </w:pPr>
            <w:r w:rsidRPr="00DC7E0E">
              <w:rPr>
                <w:lang w:val="uk-UA"/>
              </w:rPr>
              <w:t>7200/</w:t>
            </w:r>
          </w:p>
          <w:p w:rsidR="00813750" w:rsidRPr="00DC7E0E" w:rsidRDefault="00813750" w:rsidP="00BD338B">
            <w:pPr>
              <w:jc w:val="center"/>
              <w:rPr>
                <w:lang w:val="uk-UA"/>
              </w:rPr>
            </w:pPr>
            <w:r w:rsidRPr="00DC7E0E">
              <w:rPr>
                <w:lang w:val="uk-UA"/>
              </w:rPr>
              <w:t>155</w:t>
            </w:r>
          </w:p>
        </w:tc>
      </w:tr>
      <w:tr w:rsidR="00813750" w:rsidRPr="00DC7E0E" w:rsidTr="00BD338B">
        <w:tc>
          <w:tcPr>
            <w:tcW w:w="3793" w:type="dxa"/>
            <w:vAlign w:val="center"/>
          </w:tcPr>
          <w:p w:rsidR="00813750" w:rsidRPr="00DC7E0E" w:rsidRDefault="00813750" w:rsidP="00BD338B">
            <w:pPr>
              <w:rPr>
                <w:lang w:val="uk-UA"/>
              </w:rPr>
            </w:pPr>
            <w:r w:rsidRPr="00DC7E0E">
              <w:rPr>
                <w:lang w:val="uk-UA"/>
              </w:rPr>
              <w:t>Кількість середніх підприємств/</w:t>
            </w:r>
          </w:p>
          <w:p w:rsidR="00813750" w:rsidRPr="00DC7E0E" w:rsidRDefault="00813750" w:rsidP="00BD338B">
            <w:pPr>
              <w:rPr>
                <w:lang w:val="uk-UA"/>
              </w:rPr>
            </w:pPr>
            <w:r w:rsidRPr="00DC7E0E">
              <w:rPr>
                <w:lang w:val="uk-UA"/>
              </w:rPr>
              <w:t>на 10 тис. осіб наявного населення, одиниць</w:t>
            </w:r>
          </w:p>
        </w:tc>
        <w:tc>
          <w:tcPr>
            <w:tcW w:w="1134" w:type="dxa"/>
          </w:tcPr>
          <w:p w:rsidR="00813750" w:rsidRPr="00DC7E0E" w:rsidRDefault="00813750" w:rsidP="00BD338B">
            <w:pPr>
              <w:jc w:val="center"/>
              <w:rPr>
                <w:lang w:val="uk-UA"/>
              </w:rPr>
            </w:pPr>
            <w:r w:rsidRPr="00DC7E0E">
              <w:rPr>
                <w:lang w:val="uk-UA"/>
              </w:rPr>
              <w:t>204/</w:t>
            </w:r>
          </w:p>
          <w:p w:rsidR="00813750" w:rsidRPr="00DC7E0E" w:rsidRDefault="00813750" w:rsidP="00BD338B">
            <w:pPr>
              <w:jc w:val="center"/>
              <w:rPr>
                <w:lang w:val="uk-UA"/>
              </w:rPr>
            </w:pPr>
            <w:r w:rsidRPr="00DC7E0E">
              <w:rPr>
                <w:lang w:val="uk-UA"/>
              </w:rPr>
              <w:t>4</w:t>
            </w:r>
          </w:p>
        </w:tc>
        <w:tc>
          <w:tcPr>
            <w:tcW w:w="1417" w:type="dxa"/>
          </w:tcPr>
          <w:p w:rsidR="00813750" w:rsidRPr="00DC7E0E" w:rsidRDefault="00813750" w:rsidP="00BD338B">
            <w:pPr>
              <w:jc w:val="center"/>
              <w:rPr>
                <w:lang w:val="uk-UA"/>
              </w:rPr>
            </w:pPr>
            <w:r w:rsidRPr="00DC7E0E">
              <w:rPr>
                <w:lang w:val="uk-UA"/>
              </w:rPr>
              <w:t>206/</w:t>
            </w:r>
          </w:p>
          <w:p w:rsidR="00813750" w:rsidRPr="00DC7E0E" w:rsidRDefault="00813750" w:rsidP="00BD338B">
            <w:pPr>
              <w:jc w:val="center"/>
              <w:rPr>
                <w:lang w:val="uk-UA"/>
              </w:rPr>
            </w:pPr>
            <w:r w:rsidRPr="00DC7E0E">
              <w:rPr>
                <w:lang w:val="uk-UA"/>
              </w:rPr>
              <w:t>4</w:t>
            </w:r>
          </w:p>
        </w:tc>
        <w:tc>
          <w:tcPr>
            <w:tcW w:w="1134" w:type="dxa"/>
          </w:tcPr>
          <w:p w:rsidR="00813750" w:rsidRPr="00DC7E0E" w:rsidRDefault="00813750" w:rsidP="00BD338B">
            <w:pPr>
              <w:jc w:val="center"/>
              <w:rPr>
                <w:lang w:val="uk-UA"/>
              </w:rPr>
            </w:pPr>
            <w:r w:rsidRPr="00DC7E0E">
              <w:rPr>
                <w:lang w:val="uk-UA"/>
              </w:rPr>
              <w:t>207/</w:t>
            </w:r>
          </w:p>
          <w:p w:rsidR="00813750" w:rsidRPr="00DC7E0E" w:rsidRDefault="00813750" w:rsidP="00BD338B">
            <w:pPr>
              <w:jc w:val="center"/>
              <w:rPr>
                <w:lang w:val="uk-UA"/>
              </w:rPr>
            </w:pPr>
            <w:r w:rsidRPr="00DC7E0E">
              <w:rPr>
                <w:lang w:val="uk-UA"/>
              </w:rPr>
              <w:t>4</w:t>
            </w:r>
          </w:p>
        </w:tc>
        <w:tc>
          <w:tcPr>
            <w:tcW w:w="1134" w:type="dxa"/>
          </w:tcPr>
          <w:p w:rsidR="00813750" w:rsidRPr="00DC7E0E" w:rsidRDefault="00813750" w:rsidP="00BD338B">
            <w:pPr>
              <w:jc w:val="center"/>
              <w:rPr>
                <w:lang w:val="uk-UA"/>
              </w:rPr>
            </w:pPr>
            <w:r w:rsidRPr="00DC7E0E">
              <w:rPr>
                <w:lang w:val="uk-UA"/>
              </w:rPr>
              <w:t>208/</w:t>
            </w:r>
          </w:p>
          <w:p w:rsidR="00813750" w:rsidRPr="00DC7E0E" w:rsidRDefault="00813750" w:rsidP="00BD338B">
            <w:pPr>
              <w:jc w:val="center"/>
              <w:rPr>
                <w:lang w:val="uk-UA"/>
              </w:rPr>
            </w:pPr>
            <w:r w:rsidRPr="00DC7E0E">
              <w:rPr>
                <w:lang w:val="uk-UA"/>
              </w:rPr>
              <w:t>5</w:t>
            </w:r>
          </w:p>
        </w:tc>
        <w:tc>
          <w:tcPr>
            <w:tcW w:w="1126" w:type="dxa"/>
          </w:tcPr>
          <w:p w:rsidR="00813750" w:rsidRPr="00DC7E0E" w:rsidRDefault="00813750" w:rsidP="00BD338B">
            <w:pPr>
              <w:jc w:val="center"/>
              <w:rPr>
                <w:lang w:val="uk-UA"/>
              </w:rPr>
            </w:pPr>
            <w:r w:rsidRPr="00DC7E0E">
              <w:rPr>
                <w:lang w:val="uk-UA"/>
              </w:rPr>
              <w:t>209/</w:t>
            </w:r>
          </w:p>
          <w:p w:rsidR="00813750" w:rsidRPr="00DC7E0E" w:rsidRDefault="00813750" w:rsidP="00BD338B">
            <w:pPr>
              <w:jc w:val="center"/>
              <w:rPr>
                <w:lang w:val="uk-UA"/>
              </w:rPr>
            </w:pPr>
            <w:r w:rsidRPr="00DC7E0E">
              <w:rPr>
                <w:lang w:val="uk-UA"/>
              </w:rPr>
              <w:t>5</w:t>
            </w:r>
          </w:p>
        </w:tc>
      </w:tr>
      <w:tr w:rsidR="00813750" w:rsidRPr="00DC7E0E" w:rsidTr="00BD338B">
        <w:tc>
          <w:tcPr>
            <w:tcW w:w="3793" w:type="dxa"/>
          </w:tcPr>
          <w:p w:rsidR="00813750" w:rsidRPr="00DC7E0E" w:rsidRDefault="00813750" w:rsidP="00BD338B">
            <w:pPr>
              <w:rPr>
                <w:lang w:val="uk-UA"/>
              </w:rPr>
            </w:pPr>
            <w:r w:rsidRPr="00DC7E0E">
              <w:rPr>
                <w:lang w:val="uk-UA"/>
              </w:rPr>
              <w:t>Чисельність наявного населення станом на 01 січня наступного року, тис. осіб</w:t>
            </w:r>
          </w:p>
        </w:tc>
        <w:tc>
          <w:tcPr>
            <w:tcW w:w="1134" w:type="dxa"/>
          </w:tcPr>
          <w:p w:rsidR="00813750" w:rsidRPr="00DC7E0E" w:rsidRDefault="00813750" w:rsidP="00BD338B">
            <w:pPr>
              <w:pStyle w:val="TableParagraph"/>
              <w:jc w:val="center"/>
              <w:rPr>
                <w:sz w:val="24"/>
                <w:szCs w:val="24"/>
              </w:rPr>
            </w:pPr>
            <w:r w:rsidRPr="00DC7E0E">
              <w:rPr>
                <w:sz w:val="24"/>
                <w:szCs w:val="24"/>
              </w:rPr>
              <w:t>476,1</w:t>
            </w:r>
          </w:p>
        </w:tc>
        <w:tc>
          <w:tcPr>
            <w:tcW w:w="1417" w:type="dxa"/>
          </w:tcPr>
          <w:p w:rsidR="00813750" w:rsidRPr="00DC7E0E" w:rsidRDefault="00813750" w:rsidP="00BD338B">
            <w:pPr>
              <w:pStyle w:val="TableParagraph"/>
              <w:ind w:right="-248"/>
              <w:jc w:val="center"/>
              <w:rPr>
                <w:sz w:val="24"/>
                <w:szCs w:val="24"/>
              </w:rPr>
            </w:pPr>
            <w:r w:rsidRPr="00DC7E0E">
              <w:rPr>
                <w:sz w:val="24"/>
                <w:szCs w:val="24"/>
              </w:rPr>
              <w:t>472,6</w:t>
            </w:r>
          </w:p>
        </w:tc>
        <w:tc>
          <w:tcPr>
            <w:tcW w:w="1134" w:type="dxa"/>
          </w:tcPr>
          <w:p w:rsidR="00813750" w:rsidRPr="00DC7E0E" w:rsidRDefault="00813750" w:rsidP="00BD338B">
            <w:pPr>
              <w:pStyle w:val="TableParagraph"/>
              <w:jc w:val="center"/>
              <w:rPr>
                <w:sz w:val="24"/>
                <w:szCs w:val="24"/>
              </w:rPr>
            </w:pPr>
            <w:r w:rsidRPr="00DC7E0E">
              <w:rPr>
                <w:sz w:val="24"/>
                <w:szCs w:val="24"/>
              </w:rPr>
              <w:t>469,7</w:t>
            </w:r>
          </w:p>
        </w:tc>
        <w:tc>
          <w:tcPr>
            <w:tcW w:w="1134" w:type="dxa"/>
          </w:tcPr>
          <w:p w:rsidR="00813750" w:rsidRPr="00DC7E0E" w:rsidRDefault="00813750" w:rsidP="00BD338B">
            <w:pPr>
              <w:pStyle w:val="TableParagraph"/>
              <w:jc w:val="center"/>
              <w:rPr>
                <w:sz w:val="24"/>
                <w:szCs w:val="24"/>
              </w:rPr>
            </w:pPr>
            <w:r w:rsidRPr="00DC7E0E">
              <w:rPr>
                <w:sz w:val="24"/>
                <w:szCs w:val="24"/>
              </w:rPr>
              <w:t>467,0</w:t>
            </w:r>
          </w:p>
        </w:tc>
        <w:tc>
          <w:tcPr>
            <w:tcW w:w="1126" w:type="dxa"/>
          </w:tcPr>
          <w:p w:rsidR="00813750" w:rsidRPr="00DC7E0E" w:rsidRDefault="00813750" w:rsidP="00BD338B">
            <w:pPr>
              <w:pStyle w:val="TableParagraph"/>
              <w:jc w:val="center"/>
              <w:rPr>
                <w:sz w:val="24"/>
                <w:szCs w:val="24"/>
              </w:rPr>
            </w:pPr>
            <w:r w:rsidRPr="00DC7E0E">
              <w:rPr>
                <w:sz w:val="24"/>
                <w:szCs w:val="24"/>
              </w:rPr>
              <w:t>464,3</w:t>
            </w:r>
          </w:p>
        </w:tc>
      </w:tr>
      <w:tr w:rsidR="00813750" w:rsidRPr="00DC7E0E" w:rsidTr="00BD338B">
        <w:tc>
          <w:tcPr>
            <w:tcW w:w="3793" w:type="dxa"/>
          </w:tcPr>
          <w:p w:rsidR="00813750" w:rsidRPr="00DC7E0E" w:rsidRDefault="00813750" w:rsidP="00BD338B">
            <w:pPr>
              <w:rPr>
                <w:lang w:val="uk-UA"/>
              </w:rPr>
            </w:pPr>
            <w:r w:rsidRPr="00DC7E0E">
              <w:rPr>
                <w:lang w:val="uk-UA"/>
              </w:rPr>
              <w:t xml:space="preserve">Кількість зареєстрованих безробітних по місту, тис. осіб </w:t>
            </w:r>
          </w:p>
        </w:tc>
        <w:tc>
          <w:tcPr>
            <w:tcW w:w="1134" w:type="dxa"/>
          </w:tcPr>
          <w:p w:rsidR="00813750" w:rsidRPr="00DC7E0E" w:rsidRDefault="00813750" w:rsidP="00BD338B">
            <w:pPr>
              <w:pStyle w:val="TableParagraph"/>
              <w:jc w:val="center"/>
              <w:rPr>
                <w:sz w:val="24"/>
                <w:szCs w:val="24"/>
              </w:rPr>
            </w:pPr>
            <w:r w:rsidRPr="00DC7E0E">
              <w:rPr>
                <w:sz w:val="24"/>
                <w:szCs w:val="24"/>
              </w:rPr>
              <w:t>10,091</w:t>
            </w:r>
          </w:p>
        </w:tc>
        <w:tc>
          <w:tcPr>
            <w:tcW w:w="1417" w:type="dxa"/>
          </w:tcPr>
          <w:p w:rsidR="00813750" w:rsidRPr="00DC7E0E" w:rsidRDefault="00813750" w:rsidP="00BD338B">
            <w:pPr>
              <w:pStyle w:val="TableParagraph"/>
              <w:jc w:val="center"/>
              <w:rPr>
                <w:sz w:val="24"/>
                <w:szCs w:val="24"/>
              </w:rPr>
            </w:pPr>
            <w:r w:rsidRPr="00DC7E0E">
              <w:rPr>
                <w:sz w:val="24"/>
                <w:szCs w:val="24"/>
              </w:rPr>
              <w:t>9,0</w:t>
            </w:r>
          </w:p>
        </w:tc>
        <w:tc>
          <w:tcPr>
            <w:tcW w:w="1134" w:type="dxa"/>
          </w:tcPr>
          <w:p w:rsidR="00813750" w:rsidRPr="00DC7E0E" w:rsidRDefault="00813750" w:rsidP="00BD338B">
            <w:pPr>
              <w:pStyle w:val="TableParagraph"/>
              <w:jc w:val="center"/>
              <w:rPr>
                <w:sz w:val="24"/>
                <w:szCs w:val="24"/>
              </w:rPr>
            </w:pPr>
            <w:r w:rsidRPr="00DC7E0E">
              <w:rPr>
                <w:sz w:val="24"/>
                <w:szCs w:val="24"/>
              </w:rPr>
              <w:t>8,5</w:t>
            </w:r>
          </w:p>
        </w:tc>
        <w:tc>
          <w:tcPr>
            <w:tcW w:w="1134" w:type="dxa"/>
          </w:tcPr>
          <w:p w:rsidR="00813750" w:rsidRPr="00DC7E0E" w:rsidRDefault="00813750" w:rsidP="00BD338B">
            <w:pPr>
              <w:pStyle w:val="TableParagraph"/>
              <w:jc w:val="center"/>
              <w:rPr>
                <w:sz w:val="24"/>
                <w:szCs w:val="24"/>
              </w:rPr>
            </w:pPr>
            <w:r w:rsidRPr="00DC7E0E">
              <w:rPr>
                <w:sz w:val="24"/>
                <w:szCs w:val="24"/>
              </w:rPr>
              <w:t>8,0</w:t>
            </w:r>
          </w:p>
        </w:tc>
        <w:tc>
          <w:tcPr>
            <w:tcW w:w="1126" w:type="dxa"/>
          </w:tcPr>
          <w:p w:rsidR="00813750" w:rsidRPr="00DC7E0E" w:rsidRDefault="00813750" w:rsidP="00BD338B">
            <w:pPr>
              <w:pStyle w:val="TableParagraph"/>
              <w:jc w:val="center"/>
              <w:rPr>
                <w:sz w:val="24"/>
                <w:szCs w:val="24"/>
              </w:rPr>
            </w:pPr>
            <w:r w:rsidRPr="00DC7E0E">
              <w:rPr>
                <w:sz w:val="24"/>
                <w:szCs w:val="24"/>
              </w:rPr>
              <w:t>7,0</w:t>
            </w:r>
          </w:p>
        </w:tc>
      </w:tr>
      <w:tr w:rsidR="00813750" w:rsidRPr="00DC7E0E" w:rsidTr="00BD338B">
        <w:trPr>
          <w:cantSplit/>
        </w:trPr>
        <w:tc>
          <w:tcPr>
            <w:tcW w:w="3793" w:type="dxa"/>
          </w:tcPr>
          <w:p w:rsidR="00813750" w:rsidRPr="00E52EF9" w:rsidRDefault="00813750" w:rsidP="00BD338B">
            <w:pPr>
              <w:pStyle w:val="2"/>
              <w:spacing w:before="0"/>
              <w:rPr>
                <w:rFonts w:ascii="Times New Roman" w:hAnsi="Times New Roman" w:cs="Times New Roman"/>
                <w:b w:val="0"/>
                <w:i w:val="0"/>
                <w:sz w:val="24"/>
                <w:szCs w:val="24"/>
                <w:lang w:val="uk-UA"/>
              </w:rPr>
            </w:pPr>
            <w:r w:rsidRPr="00E52EF9">
              <w:rPr>
                <w:rFonts w:ascii="Times New Roman" w:hAnsi="Times New Roman" w:cs="Times New Roman"/>
                <w:b w:val="0"/>
                <w:i w:val="0"/>
                <w:sz w:val="24"/>
                <w:szCs w:val="24"/>
                <w:lang w:val="uk-UA"/>
              </w:rPr>
              <w:t xml:space="preserve">Обсяг експорту послуг, </w:t>
            </w:r>
            <w:proofErr w:type="spellStart"/>
            <w:r w:rsidRPr="00E52EF9">
              <w:rPr>
                <w:rFonts w:ascii="Times New Roman" w:hAnsi="Times New Roman" w:cs="Times New Roman"/>
                <w:b w:val="0"/>
                <w:i w:val="0"/>
                <w:sz w:val="24"/>
                <w:szCs w:val="24"/>
                <w:lang w:val="uk-UA"/>
              </w:rPr>
              <w:t>млн</w:t>
            </w:r>
            <w:proofErr w:type="spellEnd"/>
            <w:r w:rsidRPr="00E52EF9">
              <w:rPr>
                <w:rFonts w:ascii="Times New Roman" w:hAnsi="Times New Roman" w:cs="Times New Roman"/>
                <w:b w:val="0"/>
                <w:i w:val="0"/>
                <w:sz w:val="24"/>
                <w:szCs w:val="24"/>
                <w:lang w:val="uk-UA"/>
              </w:rPr>
              <w:t xml:space="preserve"> дол. США</w:t>
            </w:r>
          </w:p>
        </w:tc>
        <w:tc>
          <w:tcPr>
            <w:tcW w:w="1134" w:type="dxa"/>
          </w:tcPr>
          <w:p w:rsidR="00813750" w:rsidRPr="00E52EF9" w:rsidRDefault="00813750" w:rsidP="00BD338B">
            <w:pPr>
              <w:jc w:val="center"/>
              <w:rPr>
                <w:lang w:val="uk-UA"/>
              </w:rPr>
            </w:pPr>
            <w:r w:rsidRPr="00E52EF9">
              <w:rPr>
                <w:lang w:val="uk-UA"/>
              </w:rPr>
              <w:t>166,8</w:t>
            </w:r>
          </w:p>
        </w:tc>
        <w:tc>
          <w:tcPr>
            <w:tcW w:w="1417" w:type="dxa"/>
          </w:tcPr>
          <w:p w:rsidR="00813750" w:rsidRPr="00E52EF9" w:rsidRDefault="00813750" w:rsidP="00BD338B">
            <w:pPr>
              <w:jc w:val="center"/>
              <w:rPr>
                <w:lang w:val="uk-UA"/>
              </w:rPr>
            </w:pPr>
            <w:r w:rsidRPr="00E52EF9">
              <w:rPr>
                <w:lang w:val="uk-UA"/>
              </w:rPr>
              <w:t>170,6</w:t>
            </w:r>
          </w:p>
        </w:tc>
        <w:tc>
          <w:tcPr>
            <w:tcW w:w="1134" w:type="dxa"/>
          </w:tcPr>
          <w:p w:rsidR="00813750" w:rsidRPr="00E52EF9" w:rsidRDefault="00813750" w:rsidP="00BD338B">
            <w:pPr>
              <w:jc w:val="center"/>
              <w:rPr>
                <w:lang w:val="uk-UA"/>
              </w:rPr>
            </w:pPr>
            <w:r w:rsidRPr="00E52EF9">
              <w:rPr>
                <w:lang w:val="uk-UA"/>
              </w:rPr>
              <w:t>180,5</w:t>
            </w:r>
          </w:p>
        </w:tc>
        <w:tc>
          <w:tcPr>
            <w:tcW w:w="1134" w:type="dxa"/>
          </w:tcPr>
          <w:p w:rsidR="00813750" w:rsidRPr="00E52EF9" w:rsidRDefault="00813750" w:rsidP="00BD338B">
            <w:pPr>
              <w:jc w:val="center"/>
              <w:rPr>
                <w:lang w:val="uk-UA"/>
              </w:rPr>
            </w:pPr>
            <w:r w:rsidRPr="00E52EF9">
              <w:rPr>
                <w:lang w:val="uk-UA"/>
              </w:rPr>
              <w:t>191,4</w:t>
            </w:r>
          </w:p>
        </w:tc>
        <w:tc>
          <w:tcPr>
            <w:tcW w:w="1126" w:type="dxa"/>
          </w:tcPr>
          <w:p w:rsidR="00813750" w:rsidRPr="00E52EF9" w:rsidRDefault="00813750" w:rsidP="00BD338B">
            <w:pPr>
              <w:jc w:val="center"/>
              <w:rPr>
                <w:lang w:val="uk-UA"/>
              </w:rPr>
            </w:pPr>
            <w:r w:rsidRPr="00E52EF9">
              <w:rPr>
                <w:lang w:val="uk-UA"/>
              </w:rPr>
              <w:t>201,2</w:t>
            </w:r>
          </w:p>
        </w:tc>
      </w:tr>
      <w:tr w:rsidR="00813750" w:rsidRPr="00DC7E0E" w:rsidTr="00BD338B">
        <w:trPr>
          <w:cantSplit/>
        </w:trPr>
        <w:tc>
          <w:tcPr>
            <w:tcW w:w="3793" w:type="dxa"/>
          </w:tcPr>
          <w:p w:rsidR="00813750" w:rsidRPr="00E52EF9" w:rsidRDefault="00813750" w:rsidP="00BD338B">
            <w:pPr>
              <w:pStyle w:val="2"/>
              <w:spacing w:before="0"/>
              <w:rPr>
                <w:rFonts w:ascii="Times New Roman" w:hAnsi="Times New Roman" w:cs="Times New Roman"/>
                <w:b w:val="0"/>
                <w:i w:val="0"/>
                <w:sz w:val="24"/>
                <w:szCs w:val="24"/>
                <w:lang w:val="uk-UA"/>
              </w:rPr>
            </w:pPr>
            <w:r w:rsidRPr="00E52EF9">
              <w:rPr>
                <w:rFonts w:ascii="Times New Roman" w:hAnsi="Times New Roman" w:cs="Times New Roman"/>
                <w:b w:val="0"/>
                <w:i w:val="0"/>
                <w:sz w:val="24"/>
                <w:szCs w:val="24"/>
                <w:lang w:val="uk-UA"/>
              </w:rPr>
              <w:t>Обсяг експорту послуг у % до попереднього року</w:t>
            </w:r>
          </w:p>
        </w:tc>
        <w:tc>
          <w:tcPr>
            <w:tcW w:w="1134" w:type="dxa"/>
          </w:tcPr>
          <w:p w:rsidR="00813750" w:rsidRPr="00E52EF9" w:rsidRDefault="00813750" w:rsidP="00BD338B">
            <w:pPr>
              <w:jc w:val="center"/>
              <w:rPr>
                <w:lang w:val="uk-UA"/>
              </w:rPr>
            </w:pPr>
            <w:r w:rsidRPr="00E52EF9">
              <w:rPr>
                <w:lang w:val="uk-UA"/>
              </w:rPr>
              <w:t>93,1</w:t>
            </w:r>
          </w:p>
        </w:tc>
        <w:tc>
          <w:tcPr>
            <w:tcW w:w="1417" w:type="dxa"/>
          </w:tcPr>
          <w:p w:rsidR="00813750" w:rsidRPr="00E52EF9" w:rsidRDefault="00813750" w:rsidP="00BD338B">
            <w:pPr>
              <w:jc w:val="center"/>
              <w:rPr>
                <w:lang w:val="uk-UA"/>
              </w:rPr>
            </w:pPr>
            <w:r w:rsidRPr="00E52EF9">
              <w:rPr>
                <w:lang w:val="uk-UA"/>
              </w:rPr>
              <w:t>102,3</w:t>
            </w:r>
          </w:p>
        </w:tc>
        <w:tc>
          <w:tcPr>
            <w:tcW w:w="1134" w:type="dxa"/>
          </w:tcPr>
          <w:p w:rsidR="00813750" w:rsidRPr="00E52EF9" w:rsidRDefault="00813750" w:rsidP="00BD338B">
            <w:pPr>
              <w:jc w:val="center"/>
              <w:rPr>
                <w:lang w:val="uk-UA"/>
              </w:rPr>
            </w:pPr>
            <w:r w:rsidRPr="00E52EF9">
              <w:rPr>
                <w:lang w:val="uk-UA"/>
              </w:rPr>
              <w:t>105,8</w:t>
            </w:r>
          </w:p>
        </w:tc>
        <w:tc>
          <w:tcPr>
            <w:tcW w:w="1134" w:type="dxa"/>
          </w:tcPr>
          <w:p w:rsidR="00813750" w:rsidRPr="00E52EF9" w:rsidRDefault="00813750" w:rsidP="00BD338B">
            <w:pPr>
              <w:jc w:val="center"/>
              <w:rPr>
                <w:lang w:val="uk-UA"/>
              </w:rPr>
            </w:pPr>
            <w:r w:rsidRPr="00E52EF9">
              <w:rPr>
                <w:lang w:val="uk-UA"/>
              </w:rPr>
              <w:t>106,1</w:t>
            </w:r>
          </w:p>
        </w:tc>
        <w:tc>
          <w:tcPr>
            <w:tcW w:w="1126" w:type="dxa"/>
          </w:tcPr>
          <w:p w:rsidR="00813750" w:rsidRPr="00E52EF9" w:rsidRDefault="00813750" w:rsidP="00BD338B">
            <w:pPr>
              <w:pStyle w:val="2"/>
              <w:spacing w:before="0"/>
              <w:jc w:val="center"/>
              <w:rPr>
                <w:rFonts w:ascii="Times New Roman" w:hAnsi="Times New Roman" w:cs="Times New Roman"/>
                <w:b w:val="0"/>
                <w:i w:val="0"/>
                <w:sz w:val="24"/>
                <w:szCs w:val="24"/>
                <w:lang w:val="uk-UA"/>
              </w:rPr>
            </w:pPr>
            <w:r w:rsidRPr="00E52EF9">
              <w:rPr>
                <w:rFonts w:ascii="Times New Roman" w:hAnsi="Times New Roman" w:cs="Times New Roman"/>
                <w:b w:val="0"/>
                <w:i w:val="0"/>
                <w:sz w:val="24"/>
                <w:szCs w:val="24"/>
                <w:lang w:val="uk-UA"/>
              </w:rPr>
              <w:t>105,2</w:t>
            </w:r>
          </w:p>
        </w:tc>
      </w:tr>
      <w:tr w:rsidR="00813750" w:rsidRPr="00DC7E0E" w:rsidTr="00BD338B">
        <w:trPr>
          <w:cantSplit/>
        </w:trPr>
        <w:tc>
          <w:tcPr>
            <w:tcW w:w="3793" w:type="dxa"/>
          </w:tcPr>
          <w:p w:rsidR="00813750" w:rsidRPr="00E52EF9" w:rsidRDefault="00813750" w:rsidP="00BD338B">
            <w:pPr>
              <w:rPr>
                <w:lang w:val="uk-UA"/>
              </w:rPr>
            </w:pPr>
            <w:r w:rsidRPr="00E52EF9">
              <w:rPr>
                <w:lang w:val="uk-UA"/>
              </w:rPr>
              <w:t xml:space="preserve">Обсяг експорту товарів, </w:t>
            </w:r>
            <w:proofErr w:type="spellStart"/>
            <w:r w:rsidRPr="00E52EF9">
              <w:rPr>
                <w:lang w:val="uk-UA"/>
              </w:rPr>
              <w:t>млн</w:t>
            </w:r>
            <w:proofErr w:type="spellEnd"/>
            <w:r w:rsidRPr="00E52EF9">
              <w:rPr>
                <w:lang w:val="uk-UA"/>
              </w:rPr>
              <w:t xml:space="preserve"> дол. США</w:t>
            </w:r>
          </w:p>
        </w:tc>
        <w:tc>
          <w:tcPr>
            <w:tcW w:w="1134" w:type="dxa"/>
          </w:tcPr>
          <w:p w:rsidR="00813750" w:rsidRPr="00E52EF9" w:rsidRDefault="00813750" w:rsidP="00BD338B">
            <w:pPr>
              <w:jc w:val="center"/>
              <w:rPr>
                <w:lang w:val="uk-UA"/>
              </w:rPr>
            </w:pPr>
            <w:r w:rsidRPr="00E52EF9">
              <w:rPr>
                <w:lang w:val="uk-UA"/>
              </w:rPr>
              <w:t>1624,1</w:t>
            </w:r>
          </w:p>
        </w:tc>
        <w:tc>
          <w:tcPr>
            <w:tcW w:w="1417" w:type="dxa"/>
          </w:tcPr>
          <w:p w:rsidR="00813750" w:rsidRPr="00E52EF9" w:rsidRDefault="00813750" w:rsidP="00BD338B">
            <w:pPr>
              <w:jc w:val="center"/>
              <w:rPr>
                <w:lang w:val="uk-UA"/>
              </w:rPr>
            </w:pPr>
            <w:r w:rsidRPr="00E52EF9">
              <w:rPr>
                <w:lang w:val="uk-UA"/>
              </w:rPr>
              <w:t>1661,4</w:t>
            </w:r>
          </w:p>
        </w:tc>
        <w:tc>
          <w:tcPr>
            <w:tcW w:w="1134" w:type="dxa"/>
          </w:tcPr>
          <w:p w:rsidR="00813750" w:rsidRPr="00E52EF9" w:rsidRDefault="00813750" w:rsidP="00BD338B">
            <w:pPr>
              <w:jc w:val="center"/>
              <w:rPr>
                <w:lang w:val="uk-UA"/>
              </w:rPr>
            </w:pPr>
            <w:r w:rsidRPr="00E52EF9">
              <w:rPr>
                <w:lang w:val="uk-UA"/>
              </w:rPr>
              <w:t>1732,9</w:t>
            </w:r>
          </w:p>
        </w:tc>
        <w:tc>
          <w:tcPr>
            <w:tcW w:w="1134" w:type="dxa"/>
          </w:tcPr>
          <w:p w:rsidR="00813750" w:rsidRPr="00E52EF9" w:rsidRDefault="00813750" w:rsidP="00BD338B">
            <w:pPr>
              <w:jc w:val="center"/>
              <w:rPr>
                <w:lang w:val="uk-UA"/>
              </w:rPr>
            </w:pPr>
            <w:r w:rsidRPr="00E52EF9">
              <w:rPr>
                <w:lang w:val="uk-UA"/>
              </w:rPr>
              <w:t>1838,6</w:t>
            </w:r>
          </w:p>
        </w:tc>
        <w:tc>
          <w:tcPr>
            <w:tcW w:w="1126" w:type="dxa"/>
          </w:tcPr>
          <w:p w:rsidR="00813750" w:rsidRPr="00E52EF9" w:rsidRDefault="00813750" w:rsidP="00BD338B">
            <w:pPr>
              <w:jc w:val="center"/>
              <w:rPr>
                <w:lang w:val="uk-UA"/>
              </w:rPr>
            </w:pPr>
            <w:r w:rsidRPr="00E52EF9">
              <w:rPr>
                <w:lang w:val="uk-UA"/>
              </w:rPr>
              <w:t>1932,4</w:t>
            </w:r>
          </w:p>
        </w:tc>
      </w:tr>
      <w:tr w:rsidR="00813750" w:rsidRPr="00DC7E0E" w:rsidTr="00BD338B">
        <w:trPr>
          <w:cantSplit/>
        </w:trPr>
        <w:tc>
          <w:tcPr>
            <w:tcW w:w="3793" w:type="dxa"/>
          </w:tcPr>
          <w:p w:rsidR="00813750" w:rsidRPr="00DC7E0E" w:rsidRDefault="00813750" w:rsidP="00BD338B">
            <w:pPr>
              <w:rPr>
                <w:lang w:val="uk-UA"/>
              </w:rPr>
            </w:pPr>
            <w:r w:rsidRPr="00DC7E0E">
              <w:rPr>
                <w:lang w:val="uk-UA"/>
              </w:rPr>
              <w:t>Обсяг експорту товарів у % до попереднього року</w:t>
            </w:r>
          </w:p>
        </w:tc>
        <w:tc>
          <w:tcPr>
            <w:tcW w:w="1134" w:type="dxa"/>
          </w:tcPr>
          <w:p w:rsidR="00813750" w:rsidRPr="00DC7E0E" w:rsidRDefault="00813750" w:rsidP="00BD338B">
            <w:pPr>
              <w:jc w:val="center"/>
              <w:rPr>
                <w:lang w:val="uk-UA"/>
              </w:rPr>
            </w:pPr>
            <w:r w:rsidRPr="00DC7E0E">
              <w:rPr>
                <w:lang w:val="uk-UA"/>
              </w:rPr>
              <w:t>108,1</w:t>
            </w:r>
          </w:p>
        </w:tc>
        <w:tc>
          <w:tcPr>
            <w:tcW w:w="1417" w:type="dxa"/>
          </w:tcPr>
          <w:p w:rsidR="00813750" w:rsidRPr="00DC7E0E" w:rsidRDefault="00813750" w:rsidP="00BD338B">
            <w:pPr>
              <w:jc w:val="center"/>
              <w:rPr>
                <w:lang w:val="uk-UA"/>
              </w:rPr>
            </w:pPr>
            <w:r w:rsidRPr="00DC7E0E">
              <w:rPr>
                <w:lang w:val="uk-UA"/>
              </w:rPr>
              <w:t>102,8</w:t>
            </w:r>
          </w:p>
        </w:tc>
        <w:tc>
          <w:tcPr>
            <w:tcW w:w="1134" w:type="dxa"/>
          </w:tcPr>
          <w:p w:rsidR="00813750" w:rsidRPr="00DC7E0E" w:rsidRDefault="00813750" w:rsidP="00BD338B">
            <w:pPr>
              <w:jc w:val="center"/>
              <w:rPr>
                <w:lang w:val="uk-UA"/>
              </w:rPr>
            </w:pPr>
            <w:r w:rsidRPr="00DC7E0E">
              <w:rPr>
                <w:lang w:val="uk-UA"/>
              </w:rPr>
              <w:t>104,3</w:t>
            </w:r>
          </w:p>
        </w:tc>
        <w:tc>
          <w:tcPr>
            <w:tcW w:w="1134" w:type="dxa"/>
          </w:tcPr>
          <w:p w:rsidR="00813750" w:rsidRPr="00DC7E0E" w:rsidRDefault="00813750" w:rsidP="00BD338B">
            <w:pPr>
              <w:jc w:val="center"/>
              <w:rPr>
                <w:lang w:val="uk-UA"/>
              </w:rPr>
            </w:pPr>
            <w:r w:rsidRPr="00DC7E0E">
              <w:rPr>
                <w:lang w:val="uk-UA"/>
              </w:rPr>
              <w:t>106,1</w:t>
            </w:r>
          </w:p>
        </w:tc>
        <w:tc>
          <w:tcPr>
            <w:tcW w:w="1126" w:type="dxa"/>
          </w:tcPr>
          <w:p w:rsidR="00813750" w:rsidRPr="00DC7E0E" w:rsidRDefault="00813750" w:rsidP="00BD338B">
            <w:pPr>
              <w:pStyle w:val="2"/>
              <w:spacing w:before="0"/>
              <w:jc w:val="center"/>
              <w:rPr>
                <w:rFonts w:ascii="Times New Roman" w:hAnsi="Times New Roman" w:cs="Times New Roman"/>
                <w:b w:val="0"/>
                <w:i w:val="0"/>
                <w:sz w:val="24"/>
                <w:szCs w:val="24"/>
                <w:lang w:val="uk-UA"/>
              </w:rPr>
            </w:pPr>
            <w:r w:rsidRPr="00DC7E0E">
              <w:rPr>
                <w:rFonts w:ascii="Times New Roman" w:hAnsi="Times New Roman" w:cs="Times New Roman"/>
                <w:b w:val="0"/>
                <w:sz w:val="24"/>
                <w:szCs w:val="24"/>
                <w:lang w:val="uk-UA"/>
              </w:rPr>
              <w:t>105,1</w:t>
            </w:r>
          </w:p>
        </w:tc>
      </w:tr>
      <w:tr w:rsidR="00813750" w:rsidRPr="00DC7E0E" w:rsidTr="00BD338B">
        <w:trPr>
          <w:cantSplit/>
        </w:trPr>
        <w:tc>
          <w:tcPr>
            <w:tcW w:w="3793" w:type="dxa"/>
          </w:tcPr>
          <w:p w:rsidR="00813750" w:rsidRPr="00DC7E0E" w:rsidRDefault="00813750" w:rsidP="00BD338B">
            <w:pPr>
              <w:rPr>
                <w:lang w:val="uk-UA"/>
              </w:rPr>
            </w:pPr>
            <w:r w:rsidRPr="00DC7E0E">
              <w:rPr>
                <w:lang w:val="uk-UA"/>
              </w:rPr>
              <w:lastRenderedPageBreak/>
              <w:t xml:space="preserve">Обсяг імпорту послуг,  </w:t>
            </w:r>
            <w:proofErr w:type="spellStart"/>
            <w:r w:rsidRPr="00DC7E0E">
              <w:rPr>
                <w:lang w:val="uk-UA"/>
              </w:rPr>
              <w:t>млн</w:t>
            </w:r>
            <w:proofErr w:type="spellEnd"/>
            <w:r w:rsidRPr="00DC7E0E">
              <w:rPr>
                <w:lang w:val="uk-UA"/>
              </w:rPr>
              <w:t xml:space="preserve"> дол. США</w:t>
            </w:r>
          </w:p>
        </w:tc>
        <w:tc>
          <w:tcPr>
            <w:tcW w:w="1134" w:type="dxa"/>
          </w:tcPr>
          <w:p w:rsidR="00813750" w:rsidRPr="00DC7E0E" w:rsidRDefault="00813750" w:rsidP="00BD338B">
            <w:pPr>
              <w:jc w:val="center"/>
              <w:rPr>
                <w:lang w:val="uk-UA"/>
              </w:rPr>
            </w:pPr>
            <w:r w:rsidRPr="00DC7E0E">
              <w:rPr>
                <w:lang w:val="uk-UA"/>
              </w:rPr>
              <w:t>13,7</w:t>
            </w:r>
          </w:p>
        </w:tc>
        <w:tc>
          <w:tcPr>
            <w:tcW w:w="1417" w:type="dxa"/>
          </w:tcPr>
          <w:p w:rsidR="00813750" w:rsidRPr="00DC7E0E" w:rsidRDefault="00813750" w:rsidP="00BD338B">
            <w:pPr>
              <w:jc w:val="center"/>
              <w:rPr>
                <w:lang w:val="uk-UA"/>
              </w:rPr>
            </w:pPr>
            <w:r w:rsidRPr="00DC7E0E">
              <w:rPr>
                <w:lang w:val="uk-UA"/>
              </w:rPr>
              <w:t>13,9</w:t>
            </w:r>
          </w:p>
        </w:tc>
        <w:tc>
          <w:tcPr>
            <w:tcW w:w="1134" w:type="dxa"/>
          </w:tcPr>
          <w:p w:rsidR="00813750" w:rsidRPr="00DC7E0E" w:rsidRDefault="00813750" w:rsidP="00BD338B">
            <w:pPr>
              <w:jc w:val="center"/>
              <w:rPr>
                <w:lang w:val="uk-UA"/>
              </w:rPr>
            </w:pPr>
            <w:r w:rsidRPr="00DC7E0E">
              <w:rPr>
                <w:lang w:val="uk-UA"/>
              </w:rPr>
              <w:t>14,0</w:t>
            </w:r>
          </w:p>
        </w:tc>
        <w:tc>
          <w:tcPr>
            <w:tcW w:w="1134" w:type="dxa"/>
          </w:tcPr>
          <w:p w:rsidR="00813750" w:rsidRPr="00DC7E0E" w:rsidRDefault="00813750" w:rsidP="00BD338B">
            <w:pPr>
              <w:jc w:val="center"/>
              <w:rPr>
                <w:lang w:val="uk-UA"/>
              </w:rPr>
            </w:pPr>
            <w:r w:rsidRPr="00DC7E0E">
              <w:rPr>
                <w:lang w:val="uk-UA"/>
              </w:rPr>
              <w:t>14,2</w:t>
            </w:r>
          </w:p>
        </w:tc>
        <w:tc>
          <w:tcPr>
            <w:tcW w:w="1126" w:type="dxa"/>
          </w:tcPr>
          <w:p w:rsidR="00813750" w:rsidRPr="00DC7E0E" w:rsidRDefault="00813750" w:rsidP="00BD338B">
            <w:pPr>
              <w:jc w:val="center"/>
              <w:rPr>
                <w:lang w:val="uk-UA"/>
              </w:rPr>
            </w:pPr>
            <w:r w:rsidRPr="00DC7E0E">
              <w:rPr>
                <w:lang w:val="uk-UA"/>
              </w:rPr>
              <w:t>14,3</w:t>
            </w:r>
          </w:p>
        </w:tc>
      </w:tr>
      <w:tr w:rsidR="00813750" w:rsidRPr="00DC7E0E" w:rsidTr="00BD338B">
        <w:trPr>
          <w:cantSplit/>
        </w:trPr>
        <w:tc>
          <w:tcPr>
            <w:tcW w:w="3793" w:type="dxa"/>
          </w:tcPr>
          <w:p w:rsidR="00813750" w:rsidRPr="00DC7E0E" w:rsidRDefault="00813750" w:rsidP="00BD338B">
            <w:pPr>
              <w:rPr>
                <w:lang w:val="uk-UA"/>
              </w:rPr>
            </w:pPr>
            <w:r w:rsidRPr="00DC7E0E">
              <w:rPr>
                <w:lang w:val="uk-UA"/>
              </w:rPr>
              <w:t>Обсяг імпорту послуг у % до попереднього року</w:t>
            </w:r>
          </w:p>
        </w:tc>
        <w:tc>
          <w:tcPr>
            <w:tcW w:w="1134" w:type="dxa"/>
          </w:tcPr>
          <w:p w:rsidR="00813750" w:rsidRPr="00DC7E0E" w:rsidRDefault="00813750" w:rsidP="00BD338B">
            <w:pPr>
              <w:jc w:val="center"/>
              <w:rPr>
                <w:lang w:val="uk-UA"/>
              </w:rPr>
            </w:pPr>
            <w:r w:rsidRPr="00DC7E0E">
              <w:rPr>
                <w:lang w:val="uk-UA"/>
              </w:rPr>
              <w:t>52,2</w:t>
            </w:r>
          </w:p>
        </w:tc>
        <w:tc>
          <w:tcPr>
            <w:tcW w:w="1417" w:type="dxa"/>
          </w:tcPr>
          <w:p w:rsidR="00813750" w:rsidRPr="00DC7E0E" w:rsidRDefault="00813750" w:rsidP="00BD338B">
            <w:pPr>
              <w:jc w:val="center"/>
              <w:rPr>
                <w:lang w:val="uk-UA"/>
              </w:rPr>
            </w:pPr>
            <w:r w:rsidRPr="00DC7E0E">
              <w:rPr>
                <w:lang w:val="uk-UA"/>
              </w:rPr>
              <w:t>101,5</w:t>
            </w:r>
          </w:p>
        </w:tc>
        <w:tc>
          <w:tcPr>
            <w:tcW w:w="1134" w:type="dxa"/>
          </w:tcPr>
          <w:p w:rsidR="00813750" w:rsidRPr="00DC7E0E" w:rsidRDefault="00813750" w:rsidP="00BD338B">
            <w:pPr>
              <w:jc w:val="center"/>
              <w:rPr>
                <w:lang w:val="uk-UA"/>
              </w:rPr>
            </w:pPr>
            <w:r w:rsidRPr="00DC7E0E">
              <w:rPr>
                <w:lang w:val="uk-UA"/>
              </w:rPr>
              <w:t>100,8</w:t>
            </w:r>
          </w:p>
        </w:tc>
        <w:tc>
          <w:tcPr>
            <w:tcW w:w="1134" w:type="dxa"/>
          </w:tcPr>
          <w:p w:rsidR="00813750" w:rsidRPr="00DC7E0E" w:rsidRDefault="00813750" w:rsidP="00BD338B">
            <w:pPr>
              <w:jc w:val="center"/>
              <w:rPr>
                <w:lang w:val="uk-UA"/>
              </w:rPr>
            </w:pPr>
            <w:r w:rsidRPr="00DC7E0E">
              <w:rPr>
                <w:lang w:val="uk-UA"/>
              </w:rPr>
              <w:t>101,5</w:t>
            </w:r>
          </w:p>
        </w:tc>
        <w:tc>
          <w:tcPr>
            <w:tcW w:w="1126" w:type="dxa"/>
          </w:tcPr>
          <w:p w:rsidR="00813750" w:rsidRPr="00DC7E0E" w:rsidRDefault="00813750" w:rsidP="00BD338B">
            <w:pPr>
              <w:pStyle w:val="2"/>
              <w:spacing w:before="0"/>
              <w:jc w:val="center"/>
              <w:rPr>
                <w:rFonts w:ascii="Times New Roman" w:hAnsi="Times New Roman" w:cs="Times New Roman"/>
                <w:b w:val="0"/>
                <w:i w:val="0"/>
                <w:sz w:val="24"/>
                <w:szCs w:val="24"/>
                <w:lang w:val="uk-UA"/>
              </w:rPr>
            </w:pPr>
            <w:r w:rsidRPr="00DC7E0E">
              <w:rPr>
                <w:rFonts w:ascii="Times New Roman" w:hAnsi="Times New Roman" w:cs="Times New Roman"/>
                <w:b w:val="0"/>
                <w:sz w:val="24"/>
                <w:szCs w:val="24"/>
                <w:lang w:val="uk-UA"/>
              </w:rPr>
              <w:t>100,7</w:t>
            </w:r>
          </w:p>
        </w:tc>
      </w:tr>
      <w:tr w:rsidR="00813750" w:rsidRPr="00DC7E0E" w:rsidTr="00BD338B">
        <w:trPr>
          <w:cantSplit/>
        </w:trPr>
        <w:tc>
          <w:tcPr>
            <w:tcW w:w="3793" w:type="dxa"/>
          </w:tcPr>
          <w:p w:rsidR="00813750" w:rsidRPr="00DC7E0E" w:rsidRDefault="00813750" w:rsidP="00BD338B">
            <w:pPr>
              <w:rPr>
                <w:lang w:val="uk-UA"/>
              </w:rPr>
            </w:pPr>
            <w:r w:rsidRPr="00DC7E0E">
              <w:rPr>
                <w:lang w:val="uk-UA"/>
              </w:rPr>
              <w:t>Обсяг імпорту товарів, всього</w:t>
            </w:r>
          </w:p>
        </w:tc>
        <w:tc>
          <w:tcPr>
            <w:tcW w:w="1134" w:type="dxa"/>
          </w:tcPr>
          <w:p w:rsidR="00813750" w:rsidRPr="00DC7E0E" w:rsidRDefault="00813750" w:rsidP="00BD338B">
            <w:pPr>
              <w:jc w:val="center"/>
              <w:rPr>
                <w:lang w:val="uk-UA"/>
              </w:rPr>
            </w:pPr>
            <w:r w:rsidRPr="00DC7E0E">
              <w:rPr>
                <w:lang w:val="uk-UA"/>
              </w:rPr>
              <w:t>383,3</w:t>
            </w:r>
          </w:p>
        </w:tc>
        <w:tc>
          <w:tcPr>
            <w:tcW w:w="1417" w:type="dxa"/>
          </w:tcPr>
          <w:p w:rsidR="00813750" w:rsidRPr="00DC7E0E" w:rsidRDefault="00813750" w:rsidP="00BD338B">
            <w:pPr>
              <w:jc w:val="center"/>
              <w:rPr>
                <w:lang w:val="uk-UA"/>
              </w:rPr>
            </w:pPr>
            <w:r w:rsidRPr="00DC7E0E">
              <w:rPr>
                <w:lang w:val="uk-UA"/>
              </w:rPr>
              <w:t>392,5</w:t>
            </w:r>
          </w:p>
        </w:tc>
        <w:tc>
          <w:tcPr>
            <w:tcW w:w="1134" w:type="dxa"/>
          </w:tcPr>
          <w:p w:rsidR="00813750" w:rsidRPr="00DC7E0E" w:rsidRDefault="00813750" w:rsidP="00BD338B">
            <w:pPr>
              <w:jc w:val="center"/>
              <w:rPr>
                <w:lang w:val="uk-UA"/>
              </w:rPr>
            </w:pPr>
            <w:r w:rsidRPr="00DC7E0E">
              <w:rPr>
                <w:lang w:val="uk-UA"/>
              </w:rPr>
              <w:t>409,4</w:t>
            </w:r>
          </w:p>
        </w:tc>
        <w:tc>
          <w:tcPr>
            <w:tcW w:w="1134" w:type="dxa"/>
          </w:tcPr>
          <w:p w:rsidR="00813750" w:rsidRPr="00DC7E0E" w:rsidRDefault="00813750" w:rsidP="00BD338B">
            <w:pPr>
              <w:jc w:val="center"/>
              <w:rPr>
                <w:lang w:val="uk-UA"/>
              </w:rPr>
            </w:pPr>
            <w:r w:rsidRPr="00DC7E0E">
              <w:rPr>
                <w:lang w:val="uk-UA"/>
              </w:rPr>
              <w:t>428,2</w:t>
            </w:r>
          </w:p>
        </w:tc>
        <w:tc>
          <w:tcPr>
            <w:tcW w:w="1126" w:type="dxa"/>
          </w:tcPr>
          <w:p w:rsidR="00813750" w:rsidRPr="00DC7E0E" w:rsidRDefault="00813750" w:rsidP="00BD338B">
            <w:pPr>
              <w:jc w:val="center"/>
              <w:rPr>
                <w:lang w:val="uk-UA"/>
              </w:rPr>
            </w:pPr>
            <w:r w:rsidRPr="00DC7E0E">
              <w:rPr>
                <w:lang w:val="uk-UA"/>
              </w:rPr>
              <w:t>444,5</w:t>
            </w:r>
          </w:p>
        </w:tc>
      </w:tr>
      <w:tr w:rsidR="00813750" w:rsidRPr="00DC7E0E" w:rsidTr="00BD338B">
        <w:trPr>
          <w:cantSplit/>
        </w:trPr>
        <w:tc>
          <w:tcPr>
            <w:tcW w:w="3793" w:type="dxa"/>
          </w:tcPr>
          <w:p w:rsidR="00813750" w:rsidRPr="00DC7E0E" w:rsidRDefault="00813750" w:rsidP="00BD338B">
            <w:pPr>
              <w:rPr>
                <w:lang w:val="uk-UA"/>
              </w:rPr>
            </w:pPr>
            <w:r w:rsidRPr="00DC7E0E">
              <w:rPr>
                <w:lang w:val="uk-UA"/>
              </w:rPr>
              <w:t>Обсяг імпорту товарів у % до попереднього року</w:t>
            </w:r>
          </w:p>
        </w:tc>
        <w:tc>
          <w:tcPr>
            <w:tcW w:w="1134" w:type="dxa"/>
          </w:tcPr>
          <w:p w:rsidR="00813750" w:rsidRPr="00DC7E0E" w:rsidRDefault="00813750" w:rsidP="00BD338B">
            <w:pPr>
              <w:jc w:val="center"/>
              <w:rPr>
                <w:lang w:val="uk-UA"/>
              </w:rPr>
            </w:pPr>
            <w:r w:rsidRPr="00DC7E0E">
              <w:rPr>
                <w:lang w:val="uk-UA"/>
              </w:rPr>
              <w:t>87,0</w:t>
            </w:r>
          </w:p>
        </w:tc>
        <w:tc>
          <w:tcPr>
            <w:tcW w:w="1417" w:type="dxa"/>
          </w:tcPr>
          <w:p w:rsidR="00813750" w:rsidRPr="00DC7E0E" w:rsidRDefault="00813750" w:rsidP="00BD338B">
            <w:pPr>
              <w:jc w:val="center"/>
              <w:rPr>
                <w:lang w:val="uk-UA"/>
              </w:rPr>
            </w:pPr>
            <w:r w:rsidRPr="00DC7E0E">
              <w:rPr>
                <w:lang w:val="uk-UA"/>
              </w:rPr>
              <w:t>102,4</w:t>
            </w:r>
          </w:p>
        </w:tc>
        <w:tc>
          <w:tcPr>
            <w:tcW w:w="1134" w:type="dxa"/>
          </w:tcPr>
          <w:p w:rsidR="00813750" w:rsidRPr="00DC7E0E" w:rsidRDefault="00813750" w:rsidP="00BD338B">
            <w:pPr>
              <w:jc w:val="center"/>
              <w:rPr>
                <w:lang w:val="uk-UA"/>
              </w:rPr>
            </w:pPr>
            <w:r w:rsidRPr="00DC7E0E">
              <w:rPr>
                <w:lang w:val="uk-UA"/>
              </w:rPr>
              <w:t>104,3</w:t>
            </w:r>
          </w:p>
        </w:tc>
        <w:tc>
          <w:tcPr>
            <w:tcW w:w="1134" w:type="dxa"/>
          </w:tcPr>
          <w:p w:rsidR="00813750" w:rsidRPr="00DC7E0E" w:rsidRDefault="00813750" w:rsidP="00BD338B">
            <w:pPr>
              <w:jc w:val="center"/>
              <w:rPr>
                <w:lang w:val="uk-UA"/>
              </w:rPr>
            </w:pPr>
            <w:r w:rsidRPr="00DC7E0E">
              <w:rPr>
                <w:lang w:val="uk-UA"/>
              </w:rPr>
              <w:t>104,6</w:t>
            </w:r>
          </w:p>
        </w:tc>
        <w:tc>
          <w:tcPr>
            <w:tcW w:w="1126" w:type="dxa"/>
          </w:tcPr>
          <w:p w:rsidR="00813750" w:rsidRPr="00DC7E0E" w:rsidRDefault="00813750" w:rsidP="00BD338B">
            <w:pPr>
              <w:pStyle w:val="2"/>
              <w:spacing w:before="0"/>
              <w:jc w:val="center"/>
              <w:rPr>
                <w:rFonts w:ascii="Times New Roman" w:hAnsi="Times New Roman" w:cs="Times New Roman"/>
                <w:b w:val="0"/>
                <w:i w:val="0"/>
                <w:sz w:val="24"/>
                <w:szCs w:val="24"/>
                <w:lang w:val="uk-UA"/>
              </w:rPr>
            </w:pPr>
            <w:r w:rsidRPr="00DC7E0E">
              <w:rPr>
                <w:rFonts w:ascii="Times New Roman" w:hAnsi="Times New Roman" w:cs="Times New Roman"/>
                <w:b w:val="0"/>
                <w:sz w:val="24"/>
                <w:szCs w:val="24"/>
                <w:lang w:val="uk-UA"/>
              </w:rPr>
              <w:t>103,8</w:t>
            </w:r>
          </w:p>
        </w:tc>
      </w:tr>
    </w:tbl>
    <w:p w:rsidR="00813750" w:rsidRPr="00DC7E0E" w:rsidRDefault="00813750" w:rsidP="00813750">
      <w:pPr>
        <w:ind w:firstLine="709"/>
        <w:jc w:val="both"/>
        <w:rPr>
          <w:sz w:val="28"/>
          <w:szCs w:val="28"/>
          <w:lang w:val="uk-UA" w:eastAsia="en-US"/>
        </w:rPr>
      </w:pPr>
    </w:p>
    <w:p w:rsidR="00813750" w:rsidRPr="00DC7E0E" w:rsidRDefault="00813750" w:rsidP="00813750">
      <w:pPr>
        <w:ind w:firstLine="709"/>
        <w:jc w:val="both"/>
        <w:rPr>
          <w:sz w:val="28"/>
          <w:szCs w:val="28"/>
          <w:lang w:val="uk-UA" w:eastAsia="en-US"/>
        </w:rPr>
      </w:pPr>
      <w:r w:rsidRPr="00DC7E0E">
        <w:rPr>
          <w:sz w:val="28"/>
          <w:szCs w:val="28"/>
          <w:lang w:val="uk-UA" w:eastAsia="en-US"/>
        </w:rPr>
        <w:t xml:space="preserve">Також враховані показники передбачені </w:t>
      </w:r>
      <w:proofErr w:type="spellStart"/>
      <w:r w:rsidRPr="00DC7E0E">
        <w:rPr>
          <w:sz w:val="28"/>
          <w:szCs w:val="28"/>
          <w:lang w:val="uk-UA" w:eastAsia="en-US"/>
        </w:rPr>
        <w:t>проєктом</w:t>
      </w:r>
      <w:proofErr w:type="spellEnd"/>
      <w:r w:rsidRPr="00DC7E0E">
        <w:rPr>
          <w:sz w:val="28"/>
          <w:szCs w:val="28"/>
          <w:lang w:val="uk-UA" w:eastAsia="en-US"/>
        </w:rPr>
        <w:t xml:space="preserve"> програми економічного і соціального розвитку міста Миколаєва на 2022-2024 роки.</w:t>
      </w:r>
    </w:p>
    <w:p w:rsidR="00D55DF5" w:rsidRPr="00DC7E0E" w:rsidRDefault="00D55DF5" w:rsidP="00F96494">
      <w:pPr>
        <w:pStyle w:val="a7"/>
        <w:shd w:val="clear" w:color="auto" w:fill="FFFFFF"/>
        <w:ind w:left="0" w:firstLine="709"/>
        <w:jc w:val="center"/>
        <w:rPr>
          <w:b/>
          <w:sz w:val="28"/>
          <w:szCs w:val="28"/>
          <w:lang w:val="uk-UA"/>
        </w:rPr>
      </w:pPr>
    </w:p>
    <w:p w:rsidR="00D55DF5" w:rsidRPr="00DC7E0E" w:rsidRDefault="00D55DF5" w:rsidP="00F96494">
      <w:pPr>
        <w:pStyle w:val="a7"/>
        <w:shd w:val="clear" w:color="auto" w:fill="FFFFFF"/>
        <w:ind w:left="0"/>
        <w:jc w:val="center"/>
        <w:rPr>
          <w:b/>
          <w:sz w:val="28"/>
          <w:szCs w:val="28"/>
          <w:lang w:val="uk-UA"/>
        </w:rPr>
      </w:pPr>
      <w:r w:rsidRPr="00DC7E0E">
        <w:rPr>
          <w:b/>
          <w:sz w:val="28"/>
          <w:szCs w:val="28"/>
          <w:lang w:val="uk-UA"/>
        </w:rPr>
        <w:t>Дохідна частина</w:t>
      </w:r>
    </w:p>
    <w:p w:rsidR="00F712BC" w:rsidRPr="00DC7E0E" w:rsidRDefault="00F712BC" w:rsidP="00F712BC">
      <w:pPr>
        <w:ind w:firstLine="567"/>
        <w:jc w:val="both"/>
        <w:rPr>
          <w:color w:val="000000"/>
          <w:spacing w:val="1"/>
          <w:sz w:val="28"/>
          <w:szCs w:val="28"/>
          <w:lang w:val="uk-UA"/>
        </w:rPr>
      </w:pPr>
      <w:bookmarkStart w:id="0" w:name="n84"/>
      <w:bookmarkEnd w:id="0"/>
      <w:r w:rsidRPr="00DC7E0E">
        <w:rPr>
          <w:color w:val="000000"/>
          <w:spacing w:val="1"/>
          <w:sz w:val="28"/>
          <w:szCs w:val="28"/>
          <w:lang w:val="uk-UA"/>
        </w:rPr>
        <w:t>Середньострокове бюджетне прогнозування дохідної частини (без урахування міжбюджетних трансфертів) бюджету Миколаївської міської територіальної громади на 2022-2024 роки здійснено на основі:</w:t>
      </w:r>
    </w:p>
    <w:p w:rsidR="00F712BC" w:rsidRPr="00DC7E0E" w:rsidRDefault="00F712BC" w:rsidP="00F712BC">
      <w:pPr>
        <w:ind w:firstLine="567"/>
        <w:jc w:val="both"/>
        <w:rPr>
          <w:sz w:val="28"/>
          <w:szCs w:val="28"/>
          <w:lang w:val="uk-UA"/>
        </w:rPr>
      </w:pPr>
      <w:r w:rsidRPr="00DC7E0E">
        <w:rPr>
          <w:sz w:val="28"/>
          <w:szCs w:val="28"/>
          <w:lang w:val="uk-UA"/>
        </w:rPr>
        <w:t xml:space="preserve">прогнозних </w:t>
      </w:r>
      <w:proofErr w:type="spellStart"/>
      <w:r w:rsidRPr="00DC7E0E">
        <w:rPr>
          <w:sz w:val="28"/>
          <w:szCs w:val="28"/>
          <w:lang w:val="uk-UA"/>
        </w:rPr>
        <w:t>макропоказників</w:t>
      </w:r>
      <w:proofErr w:type="spellEnd"/>
      <w:r w:rsidRPr="00DC7E0E">
        <w:rPr>
          <w:sz w:val="28"/>
          <w:szCs w:val="28"/>
          <w:lang w:val="uk-UA"/>
        </w:rPr>
        <w:t xml:space="preserve"> економічного та соціального розвитку держави, тенденцій розвитку міста;</w:t>
      </w:r>
    </w:p>
    <w:p w:rsidR="00F712BC" w:rsidRPr="00DC7E0E" w:rsidRDefault="00F712BC" w:rsidP="00F712BC">
      <w:pPr>
        <w:ind w:firstLine="567"/>
        <w:jc w:val="both"/>
        <w:rPr>
          <w:sz w:val="28"/>
          <w:szCs w:val="28"/>
          <w:lang w:val="uk-UA"/>
        </w:rPr>
      </w:pPr>
      <w:r w:rsidRPr="00DC7E0E">
        <w:rPr>
          <w:sz w:val="28"/>
          <w:szCs w:val="28"/>
          <w:lang w:val="uk-UA"/>
        </w:rPr>
        <w:t>чинних норм податкового та бюджетного законодавства;</w:t>
      </w:r>
    </w:p>
    <w:p w:rsidR="00F712BC" w:rsidRPr="00DC7E0E" w:rsidRDefault="00F712BC" w:rsidP="00F712BC">
      <w:pPr>
        <w:ind w:firstLine="567"/>
        <w:jc w:val="both"/>
        <w:rPr>
          <w:sz w:val="28"/>
          <w:szCs w:val="28"/>
          <w:lang w:val="uk-UA"/>
        </w:rPr>
      </w:pPr>
      <w:r w:rsidRPr="00DC7E0E">
        <w:rPr>
          <w:sz w:val="28"/>
          <w:szCs w:val="28"/>
          <w:lang w:val="uk-UA"/>
        </w:rPr>
        <w:t>розмірів державних соціальних стандартів (мінімальна заробітна плата, прожитковий мінімум), прогнозних індексів інфляції, фонду оплати праці найманих працівників;</w:t>
      </w:r>
    </w:p>
    <w:p w:rsidR="00F712BC" w:rsidRPr="00DC7E0E" w:rsidRDefault="00F712BC" w:rsidP="00F712BC">
      <w:pPr>
        <w:ind w:firstLine="567"/>
        <w:jc w:val="both"/>
        <w:rPr>
          <w:sz w:val="28"/>
          <w:szCs w:val="28"/>
          <w:lang w:val="uk-UA"/>
        </w:rPr>
      </w:pPr>
      <w:r w:rsidRPr="00DC7E0E">
        <w:rPr>
          <w:sz w:val="28"/>
          <w:szCs w:val="28"/>
          <w:lang w:val="uk-UA"/>
        </w:rPr>
        <w:t>статистичних показників, які використовуються для розрахунку прогнозних надходжень податків та зборів;</w:t>
      </w:r>
    </w:p>
    <w:p w:rsidR="00F712BC" w:rsidRPr="00DC7E0E" w:rsidRDefault="00F712BC" w:rsidP="00F712BC">
      <w:pPr>
        <w:ind w:firstLine="567"/>
        <w:jc w:val="both"/>
        <w:rPr>
          <w:sz w:val="28"/>
          <w:szCs w:val="28"/>
          <w:lang w:val="uk-UA"/>
        </w:rPr>
      </w:pPr>
      <w:r w:rsidRPr="00DC7E0E">
        <w:rPr>
          <w:sz w:val="28"/>
          <w:szCs w:val="28"/>
          <w:lang w:val="uk-UA"/>
        </w:rPr>
        <w:t>фактичного виконання дохідної частини бюджету за 2019-2020 роки і очікуване виконання за 2021 рік ( з урахуванням структурних змін у плановому періоді);</w:t>
      </w:r>
    </w:p>
    <w:p w:rsidR="00F712BC" w:rsidRPr="00DC7E0E" w:rsidRDefault="00F712BC" w:rsidP="00F712BC">
      <w:pPr>
        <w:ind w:firstLine="567"/>
        <w:jc w:val="both"/>
        <w:rPr>
          <w:sz w:val="28"/>
          <w:szCs w:val="28"/>
          <w:lang w:val="uk-UA"/>
        </w:rPr>
      </w:pPr>
      <w:r w:rsidRPr="00DC7E0E">
        <w:rPr>
          <w:sz w:val="28"/>
          <w:szCs w:val="28"/>
          <w:lang w:val="uk-UA"/>
        </w:rPr>
        <w:t>даних Головного управління ДПС у Миколаївській області тощо</w:t>
      </w:r>
      <w:r w:rsidRPr="00DC7E0E">
        <w:rPr>
          <w:b/>
          <w:sz w:val="28"/>
          <w:szCs w:val="28"/>
          <w:lang w:val="uk-UA"/>
        </w:rPr>
        <w:t>.</w:t>
      </w:r>
    </w:p>
    <w:p w:rsidR="00F712BC" w:rsidRPr="00DC7E0E" w:rsidRDefault="00F712BC" w:rsidP="00F712BC">
      <w:pPr>
        <w:ind w:firstLine="567"/>
        <w:jc w:val="both"/>
        <w:rPr>
          <w:sz w:val="28"/>
          <w:szCs w:val="28"/>
          <w:lang w:val="uk-UA"/>
        </w:rPr>
      </w:pPr>
      <w:r w:rsidRPr="00DC7E0E">
        <w:rPr>
          <w:sz w:val="28"/>
          <w:szCs w:val="28"/>
          <w:lang w:val="uk-UA"/>
        </w:rPr>
        <w:t>Податкові надходження є найбільшим розділом класифікації доходів бюджету, розрахунок за основними податками проводився таким чином:</w:t>
      </w:r>
    </w:p>
    <w:p w:rsidR="00F712BC" w:rsidRPr="00DC7E0E" w:rsidRDefault="00F712BC" w:rsidP="00F712BC">
      <w:pPr>
        <w:ind w:firstLine="567"/>
        <w:jc w:val="both"/>
        <w:rPr>
          <w:sz w:val="28"/>
          <w:szCs w:val="28"/>
          <w:lang w:val="uk-UA"/>
        </w:rPr>
      </w:pPr>
      <w:r w:rsidRPr="00DC7E0E">
        <w:rPr>
          <w:sz w:val="28"/>
          <w:szCs w:val="28"/>
          <w:lang w:val="uk-UA"/>
        </w:rPr>
        <w:t xml:space="preserve">податок на доходи фізичних осіб – розрахунок ПДФО із заробітної плати найманих працівників враховує  очікувану середньомісячну заробітну плату за 2021 рік та прогнозоване її зростання у зв’язку з ростом мінімальної заробітної плати у 2022 році – 14800 </w:t>
      </w:r>
      <w:proofErr w:type="spellStart"/>
      <w:r w:rsidRPr="00DC7E0E">
        <w:rPr>
          <w:sz w:val="28"/>
          <w:szCs w:val="28"/>
          <w:lang w:val="uk-UA"/>
        </w:rPr>
        <w:t>грн</w:t>
      </w:r>
      <w:proofErr w:type="spellEnd"/>
      <w:r w:rsidRPr="00DC7E0E">
        <w:rPr>
          <w:sz w:val="28"/>
          <w:szCs w:val="28"/>
          <w:lang w:val="uk-UA"/>
        </w:rPr>
        <w:t xml:space="preserve">, у 2023році – 16490 </w:t>
      </w:r>
      <w:proofErr w:type="spellStart"/>
      <w:r w:rsidRPr="00DC7E0E">
        <w:rPr>
          <w:sz w:val="28"/>
          <w:szCs w:val="28"/>
          <w:lang w:val="uk-UA"/>
        </w:rPr>
        <w:t>грн</w:t>
      </w:r>
      <w:proofErr w:type="spellEnd"/>
      <w:r w:rsidRPr="00DC7E0E">
        <w:rPr>
          <w:sz w:val="28"/>
          <w:szCs w:val="28"/>
          <w:lang w:val="uk-UA"/>
        </w:rPr>
        <w:t xml:space="preserve"> та у 2024 році – 18250 </w:t>
      </w:r>
      <w:proofErr w:type="spellStart"/>
      <w:r w:rsidRPr="00DC7E0E">
        <w:rPr>
          <w:sz w:val="28"/>
          <w:szCs w:val="28"/>
          <w:lang w:val="uk-UA"/>
        </w:rPr>
        <w:t>грн</w:t>
      </w:r>
      <w:proofErr w:type="spellEnd"/>
      <w:r w:rsidRPr="00DC7E0E">
        <w:rPr>
          <w:sz w:val="28"/>
          <w:szCs w:val="28"/>
          <w:lang w:val="uk-UA"/>
        </w:rPr>
        <w:t xml:space="preserve">, чисельність найманих працівників великих підприємств за статистичною звітністю 99200 чоловік та 22300 чоловік, що працюють на малих підприємствах з середньою заробітною платою відповідно 9110 </w:t>
      </w:r>
      <w:proofErr w:type="spellStart"/>
      <w:r w:rsidRPr="00DC7E0E">
        <w:rPr>
          <w:sz w:val="28"/>
          <w:szCs w:val="28"/>
          <w:lang w:val="uk-UA"/>
        </w:rPr>
        <w:t>грн</w:t>
      </w:r>
      <w:proofErr w:type="spellEnd"/>
      <w:r w:rsidRPr="00DC7E0E">
        <w:rPr>
          <w:sz w:val="28"/>
          <w:szCs w:val="28"/>
          <w:lang w:val="uk-UA"/>
        </w:rPr>
        <w:t xml:space="preserve">, 9760 </w:t>
      </w:r>
      <w:proofErr w:type="spellStart"/>
      <w:r w:rsidRPr="00DC7E0E">
        <w:rPr>
          <w:sz w:val="28"/>
          <w:szCs w:val="28"/>
          <w:lang w:val="uk-UA"/>
        </w:rPr>
        <w:t>грн</w:t>
      </w:r>
      <w:proofErr w:type="spellEnd"/>
      <w:r w:rsidRPr="00DC7E0E">
        <w:rPr>
          <w:sz w:val="28"/>
          <w:szCs w:val="28"/>
          <w:lang w:val="uk-UA"/>
        </w:rPr>
        <w:t>, 10400 грн. Крім того, враховані виплати допомоги по тимчасовій непрацездатності на рівні 2020 року (193989,6 тис.</w:t>
      </w:r>
      <w:r w:rsidR="0054114C">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 з урахуванням зростання середньої заробітної плати у 2021 році на 116,3 %. ПДФО з грошового забезпечення обраховано виходячи з очікуваних надходжень податку за 2021 рік та тенденції випередження зростання надходжень до відповідного показника по мінімальній заробітній платі (102,1 %). ПДФО з інших доходів фізичних осіб обраховано з врахуванням тенденцій їх надходжень протягом 2019-2021 років;</w:t>
      </w:r>
    </w:p>
    <w:p w:rsidR="00F712BC" w:rsidRPr="00DC7E0E" w:rsidRDefault="00F712BC" w:rsidP="00F712BC">
      <w:pPr>
        <w:ind w:firstLine="567"/>
        <w:jc w:val="both"/>
        <w:rPr>
          <w:sz w:val="28"/>
          <w:szCs w:val="28"/>
          <w:lang w:val="uk-UA"/>
        </w:rPr>
      </w:pPr>
      <w:r w:rsidRPr="00DC7E0E">
        <w:rPr>
          <w:sz w:val="28"/>
          <w:szCs w:val="28"/>
          <w:lang w:val="uk-UA"/>
        </w:rPr>
        <w:t xml:space="preserve">плата за землю – розрахунок плати за землю здійснено на підставі очікуваних надходжень платежів за 2021 рік  в сумі 327 250 тис. </w:t>
      </w:r>
      <w:proofErr w:type="spellStart"/>
      <w:r w:rsidRPr="00DC7E0E">
        <w:rPr>
          <w:sz w:val="28"/>
          <w:szCs w:val="28"/>
          <w:lang w:val="uk-UA"/>
        </w:rPr>
        <w:t>грн</w:t>
      </w:r>
      <w:proofErr w:type="spellEnd"/>
      <w:r w:rsidRPr="00DC7E0E">
        <w:rPr>
          <w:sz w:val="28"/>
          <w:szCs w:val="28"/>
          <w:lang w:val="uk-UA"/>
        </w:rPr>
        <w:t xml:space="preserve">  (в яких </w:t>
      </w:r>
      <w:r w:rsidRPr="00DC7E0E">
        <w:rPr>
          <w:sz w:val="28"/>
          <w:szCs w:val="28"/>
          <w:lang w:val="uk-UA"/>
        </w:rPr>
        <w:lastRenderedPageBreak/>
        <w:t>враховані структурні зміни, а саме: значне зменшення обсягу земельного податку, що сплачується підприємствами залізниці в результаті проведення інвентаризації та оформлення земельних ділянок, надання державних та місцевих пільг зі сплати податку та оновлена у 2020 році грошова оцінка земель) та застосування з 2024 року індексації нормативної грошової оцінки земель (5</w:t>
      </w:r>
      <w:r w:rsidR="00FA13E2" w:rsidRPr="00DC7E0E">
        <w:rPr>
          <w:sz w:val="28"/>
          <w:szCs w:val="28"/>
          <w:lang w:val="uk-UA"/>
        </w:rPr>
        <w:t xml:space="preserve"> </w:t>
      </w:r>
      <w:r w:rsidRPr="00DC7E0E">
        <w:rPr>
          <w:sz w:val="28"/>
          <w:szCs w:val="28"/>
          <w:lang w:val="uk-UA"/>
        </w:rPr>
        <w:t>%);</w:t>
      </w:r>
    </w:p>
    <w:p w:rsidR="00F712BC" w:rsidRPr="00DC7E0E" w:rsidRDefault="00F712BC" w:rsidP="00F712BC">
      <w:pPr>
        <w:ind w:firstLine="567"/>
        <w:jc w:val="both"/>
        <w:rPr>
          <w:sz w:val="28"/>
          <w:szCs w:val="28"/>
          <w:lang w:val="uk-UA"/>
        </w:rPr>
      </w:pPr>
      <w:r w:rsidRPr="00DC7E0E">
        <w:rPr>
          <w:sz w:val="28"/>
          <w:szCs w:val="28"/>
          <w:lang w:val="uk-UA"/>
        </w:rPr>
        <w:t>єдиний податок – враховуючи, що, за інформацією податкових органів, кількість суб’єктів господарювання в місті, які використовують спрощену систему оподаткування, протягом останніх трьох років є показником сталим, при розрахунку прогнозу врахована лише зміна розміру ставок для першої та другої у зв’язку зі зростанням мінімальної заробітної плати та прожиткового мінімуму та індекс інфляції для фізичних осіб-підприємців і юридичних осіб, об’єктом оподаткування яких є доходи;</w:t>
      </w:r>
    </w:p>
    <w:p w:rsidR="00F712BC" w:rsidRPr="00DC7E0E" w:rsidRDefault="00F712BC" w:rsidP="00F712BC">
      <w:pPr>
        <w:ind w:firstLine="567"/>
        <w:jc w:val="both"/>
        <w:rPr>
          <w:sz w:val="28"/>
          <w:szCs w:val="28"/>
          <w:lang w:val="uk-UA"/>
        </w:rPr>
      </w:pPr>
      <w:r w:rsidRPr="00DC7E0E">
        <w:rPr>
          <w:sz w:val="28"/>
          <w:szCs w:val="28"/>
          <w:lang w:val="uk-UA"/>
        </w:rPr>
        <w:t xml:space="preserve">акцизний податок – розраховано виходячи із прогнозних надходжень податку за 2021 рік (роздрібна торгівля </w:t>
      </w:r>
      <w:r w:rsidR="002B1812" w:rsidRPr="00DC7E0E">
        <w:rPr>
          <w:sz w:val="28"/>
          <w:szCs w:val="28"/>
          <w:lang w:val="uk-UA"/>
        </w:rPr>
        <w:t xml:space="preserve">– </w:t>
      </w:r>
      <w:r w:rsidRPr="00DC7E0E">
        <w:rPr>
          <w:sz w:val="28"/>
          <w:szCs w:val="28"/>
          <w:lang w:val="uk-UA"/>
        </w:rPr>
        <w:t>107</w:t>
      </w:r>
      <w:r w:rsidR="002B1812" w:rsidRPr="00DC7E0E">
        <w:rPr>
          <w:sz w:val="28"/>
          <w:szCs w:val="28"/>
          <w:lang w:val="uk-UA"/>
        </w:rPr>
        <w:t>,</w:t>
      </w:r>
      <w:r w:rsidRPr="00DC7E0E">
        <w:rPr>
          <w:sz w:val="28"/>
          <w:szCs w:val="28"/>
          <w:lang w:val="uk-UA"/>
        </w:rPr>
        <w:t xml:space="preserve">2 </w:t>
      </w:r>
      <w:proofErr w:type="spellStart"/>
      <w:r w:rsidRPr="00DC7E0E">
        <w:rPr>
          <w:sz w:val="28"/>
          <w:szCs w:val="28"/>
          <w:lang w:val="uk-UA"/>
        </w:rPr>
        <w:t>млн</w:t>
      </w:r>
      <w:proofErr w:type="spellEnd"/>
      <w:r w:rsidR="00FA13E2" w:rsidRPr="00DC7E0E">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 паливо</w:t>
      </w:r>
      <w:r w:rsidR="002B1812" w:rsidRPr="00DC7E0E">
        <w:rPr>
          <w:sz w:val="28"/>
          <w:szCs w:val="28"/>
          <w:lang w:val="uk-UA"/>
        </w:rPr>
        <w:t xml:space="preserve"> – </w:t>
      </w:r>
      <w:r w:rsidRPr="00DC7E0E">
        <w:rPr>
          <w:sz w:val="28"/>
          <w:szCs w:val="28"/>
          <w:lang w:val="uk-UA"/>
        </w:rPr>
        <w:t>120</w:t>
      </w:r>
      <w:r w:rsidR="002B1812" w:rsidRPr="00DC7E0E">
        <w:rPr>
          <w:sz w:val="28"/>
          <w:szCs w:val="28"/>
          <w:lang w:val="uk-UA"/>
        </w:rPr>
        <w:t>,</w:t>
      </w:r>
      <w:r w:rsidRPr="00DC7E0E">
        <w:rPr>
          <w:sz w:val="28"/>
          <w:szCs w:val="28"/>
          <w:lang w:val="uk-UA"/>
        </w:rPr>
        <w:t xml:space="preserve">6 </w:t>
      </w:r>
      <w:proofErr w:type="spellStart"/>
      <w:r w:rsidRPr="00DC7E0E">
        <w:rPr>
          <w:sz w:val="28"/>
          <w:szCs w:val="28"/>
          <w:lang w:val="uk-UA"/>
        </w:rPr>
        <w:t>млн</w:t>
      </w:r>
      <w:proofErr w:type="spellEnd"/>
      <w:r w:rsidR="00FA13E2" w:rsidRPr="00DC7E0E">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 та зростання цін на підакцизні товари на індекс прогнозного росту цін виробників;</w:t>
      </w:r>
    </w:p>
    <w:p w:rsidR="00F712BC" w:rsidRPr="00DC7E0E" w:rsidRDefault="00F712BC" w:rsidP="00F712BC">
      <w:pPr>
        <w:ind w:firstLine="567"/>
        <w:jc w:val="both"/>
        <w:rPr>
          <w:sz w:val="28"/>
          <w:szCs w:val="28"/>
          <w:lang w:val="uk-UA"/>
        </w:rPr>
      </w:pPr>
      <w:r w:rsidRPr="00DC7E0E">
        <w:rPr>
          <w:sz w:val="28"/>
          <w:szCs w:val="28"/>
          <w:lang w:val="uk-UA"/>
        </w:rPr>
        <w:t>податок на нерухоме майно, відмінне від земельної ділянки – розраховано на підставі динаміки фактичних надходжень протягом минулих та поточного років та збільшення розміру податку у зв’язку з ростом мінімальної заробітної плати.</w:t>
      </w:r>
    </w:p>
    <w:p w:rsidR="00F712BC" w:rsidRPr="00DC7E0E" w:rsidRDefault="00F712BC" w:rsidP="00F712BC">
      <w:pPr>
        <w:ind w:firstLine="567"/>
        <w:jc w:val="both"/>
        <w:rPr>
          <w:sz w:val="28"/>
          <w:szCs w:val="28"/>
          <w:lang w:val="uk-UA"/>
        </w:rPr>
      </w:pPr>
      <w:r w:rsidRPr="00DC7E0E">
        <w:rPr>
          <w:sz w:val="28"/>
          <w:szCs w:val="28"/>
          <w:lang w:val="uk-UA"/>
        </w:rPr>
        <w:t>Неподаткові надходження визначалися на підставі динаміки фактичних надходжень протягом минулих та поточного років з урахуванням пропозицій, наданих відповідними органами</w:t>
      </w:r>
      <w:r w:rsidRPr="00DC7E0E">
        <w:rPr>
          <w:sz w:val="28"/>
          <w:szCs w:val="28"/>
          <w:lang w:val="uk-UA" w:bidi="te-IN"/>
        </w:rPr>
        <w:t xml:space="preserve">, які контролюють справляння таких надходжень та впливу </w:t>
      </w:r>
      <w:r w:rsidRPr="00DC7E0E">
        <w:rPr>
          <w:sz w:val="28"/>
          <w:szCs w:val="28"/>
          <w:lang w:val="uk-UA"/>
        </w:rPr>
        <w:t xml:space="preserve">розмірів державних соціальних стандартів (мінімальна заробітна плата, прожитковий мінімум), прогнозних індексів інфляції. </w:t>
      </w:r>
    </w:p>
    <w:p w:rsidR="000F2832" w:rsidRPr="00DC7E0E" w:rsidRDefault="000F2832" w:rsidP="00F96494">
      <w:pPr>
        <w:tabs>
          <w:tab w:val="left" w:pos="993"/>
        </w:tabs>
        <w:ind w:firstLine="709"/>
        <w:jc w:val="both"/>
        <w:rPr>
          <w:sz w:val="28"/>
          <w:szCs w:val="28"/>
          <w:u w:val="single"/>
          <w:lang w:val="uk-UA"/>
        </w:rPr>
      </w:pPr>
    </w:p>
    <w:p w:rsidR="006118FD" w:rsidRPr="00DC7E0E" w:rsidRDefault="000D2906" w:rsidP="00F96494">
      <w:pPr>
        <w:jc w:val="center"/>
        <w:rPr>
          <w:b/>
          <w:sz w:val="28"/>
          <w:szCs w:val="28"/>
          <w:lang w:val="uk-UA"/>
        </w:rPr>
      </w:pPr>
      <w:r w:rsidRPr="00DC7E0E">
        <w:rPr>
          <w:b/>
          <w:sz w:val="28"/>
          <w:szCs w:val="28"/>
          <w:lang w:val="uk-UA"/>
        </w:rPr>
        <w:t>Видаткова частина</w:t>
      </w:r>
    </w:p>
    <w:p w:rsidR="003D698B" w:rsidRPr="00DC7E0E" w:rsidRDefault="003D698B" w:rsidP="003D698B">
      <w:pPr>
        <w:pStyle w:val="a7"/>
        <w:tabs>
          <w:tab w:val="left" w:pos="851"/>
        </w:tabs>
        <w:ind w:left="0" w:firstLine="567"/>
        <w:jc w:val="both"/>
        <w:rPr>
          <w:sz w:val="28"/>
          <w:szCs w:val="28"/>
          <w:lang w:val="uk-UA"/>
        </w:rPr>
      </w:pPr>
      <w:r w:rsidRPr="00DC7E0E">
        <w:rPr>
          <w:sz w:val="28"/>
          <w:szCs w:val="28"/>
          <w:lang w:val="uk-UA"/>
        </w:rPr>
        <w:t xml:space="preserve">Припущення в частині видатків передбачають: забезпечення законодавчого підвищення мінімальної заробітної плати та посадового окладу (тарифної ставки) працівника 1 тарифного розряду Єдиної тарифної сітки; збільшення видатків бюджетних установ на оплату комунальних послуг та енергоносіїв з урахуванням прогнозного індексу цін виробників; здійснення заходів з підвищення рівня </w:t>
      </w:r>
      <w:proofErr w:type="spellStart"/>
      <w:r w:rsidRPr="00DC7E0E">
        <w:rPr>
          <w:sz w:val="28"/>
          <w:szCs w:val="28"/>
          <w:lang w:val="uk-UA"/>
        </w:rPr>
        <w:t>енергоефективності</w:t>
      </w:r>
      <w:proofErr w:type="spellEnd"/>
      <w:r w:rsidRPr="00DC7E0E">
        <w:rPr>
          <w:sz w:val="28"/>
          <w:szCs w:val="28"/>
          <w:lang w:val="uk-UA"/>
        </w:rPr>
        <w:t xml:space="preserve"> та енергозбереження; забезпечення стабільної роботи установ та закладів соціально-культурної сфери; надання  власних соціальних гарантій для </w:t>
      </w:r>
      <w:proofErr w:type="spellStart"/>
      <w:r w:rsidRPr="00DC7E0E">
        <w:rPr>
          <w:sz w:val="28"/>
          <w:szCs w:val="28"/>
          <w:lang w:val="uk-UA"/>
        </w:rPr>
        <w:t>малозахищених</w:t>
      </w:r>
      <w:proofErr w:type="spellEnd"/>
      <w:r w:rsidRPr="00DC7E0E">
        <w:rPr>
          <w:sz w:val="28"/>
          <w:szCs w:val="28"/>
          <w:lang w:val="uk-UA"/>
        </w:rPr>
        <w:t xml:space="preserve"> категорій громадян; підтримка в належному стані об’єктів житлово-комунального господарства та інших об’єктів інфраструктури міста; прогнозні показники видатків бюджету за бюджетними програмами, які забезпечують виконання інвестиційних </w:t>
      </w:r>
      <w:proofErr w:type="spellStart"/>
      <w:r w:rsidRPr="00DC7E0E">
        <w:rPr>
          <w:sz w:val="28"/>
          <w:szCs w:val="28"/>
          <w:lang w:val="uk-UA"/>
        </w:rPr>
        <w:t>проєктів</w:t>
      </w:r>
      <w:proofErr w:type="spellEnd"/>
      <w:r w:rsidRPr="00DC7E0E">
        <w:rPr>
          <w:sz w:val="28"/>
          <w:szCs w:val="28"/>
          <w:lang w:val="uk-UA"/>
        </w:rPr>
        <w:t xml:space="preserve"> протягом декількох років.</w:t>
      </w:r>
    </w:p>
    <w:p w:rsidR="003D698B" w:rsidRPr="00DC7E0E" w:rsidRDefault="003D698B" w:rsidP="003D698B">
      <w:pPr>
        <w:pStyle w:val="a7"/>
        <w:tabs>
          <w:tab w:val="left" w:pos="851"/>
        </w:tabs>
        <w:ind w:left="0" w:firstLine="567"/>
        <w:jc w:val="both"/>
        <w:rPr>
          <w:sz w:val="28"/>
          <w:szCs w:val="28"/>
          <w:lang w:val="uk-UA"/>
        </w:rPr>
      </w:pPr>
      <w:r w:rsidRPr="00DC7E0E">
        <w:rPr>
          <w:sz w:val="28"/>
          <w:szCs w:val="28"/>
          <w:lang w:val="uk-UA"/>
        </w:rPr>
        <w:t>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3D698B" w:rsidRPr="00DC7E0E" w:rsidRDefault="003D698B" w:rsidP="003D698B">
      <w:pPr>
        <w:pStyle w:val="a7"/>
        <w:tabs>
          <w:tab w:val="left" w:pos="851"/>
        </w:tabs>
        <w:ind w:left="0" w:firstLine="567"/>
        <w:jc w:val="both"/>
        <w:rPr>
          <w:sz w:val="28"/>
          <w:szCs w:val="28"/>
          <w:lang w:val="uk-UA"/>
        </w:rPr>
      </w:pPr>
      <w:r w:rsidRPr="00DC7E0E">
        <w:rPr>
          <w:sz w:val="28"/>
          <w:szCs w:val="28"/>
          <w:lang w:val="uk-UA"/>
        </w:rPr>
        <w:lastRenderedPageBreak/>
        <w:t>Оскільки термін дії міських програм розвитку окремих галузей закінчується у 2021 році, для прогнозування застосовані показники динаміки витрат за попередні роки.</w:t>
      </w:r>
    </w:p>
    <w:p w:rsidR="00FF7973" w:rsidRPr="00DC7E0E" w:rsidRDefault="00FF7973" w:rsidP="00F96494">
      <w:pPr>
        <w:tabs>
          <w:tab w:val="left" w:pos="993"/>
        </w:tabs>
        <w:ind w:firstLine="708"/>
        <w:jc w:val="both"/>
        <w:rPr>
          <w:sz w:val="28"/>
          <w:szCs w:val="28"/>
          <w:lang w:val="uk-UA"/>
        </w:rPr>
      </w:pPr>
    </w:p>
    <w:p w:rsidR="00AD1118" w:rsidRPr="00DC7E0E" w:rsidRDefault="00AD1118" w:rsidP="001B4BA8">
      <w:pPr>
        <w:pStyle w:val="afb"/>
        <w:ind w:firstLine="567"/>
        <w:rPr>
          <w:rFonts w:ascii="Times New Roman" w:hAnsi="Times New Roman" w:cs="Times New Roman"/>
          <w:b/>
          <w:i/>
          <w:sz w:val="28"/>
          <w:szCs w:val="28"/>
        </w:rPr>
      </w:pPr>
      <w:r w:rsidRPr="00DC7E0E">
        <w:rPr>
          <w:rFonts w:ascii="Times New Roman" w:hAnsi="Times New Roman" w:cs="Times New Roman"/>
          <w:b/>
          <w:i/>
          <w:sz w:val="28"/>
          <w:szCs w:val="28"/>
        </w:rPr>
        <w:t>Державне управління</w:t>
      </w:r>
    </w:p>
    <w:p w:rsidR="001B4BA8" w:rsidRPr="00DC7E0E" w:rsidRDefault="001B4BA8" w:rsidP="001B4BA8">
      <w:pPr>
        <w:pStyle w:val="afb"/>
        <w:ind w:firstLine="567"/>
        <w:jc w:val="both"/>
        <w:rPr>
          <w:rFonts w:ascii="Times New Roman" w:hAnsi="Times New Roman" w:cs="Times New Roman"/>
          <w:sz w:val="28"/>
          <w:szCs w:val="28"/>
        </w:rPr>
      </w:pPr>
      <w:r w:rsidRPr="00DC7E0E">
        <w:rPr>
          <w:rFonts w:ascii="Times New Roman" w:hAnsi="Times New Roman" w:cs="Times New Roman"/>
          <w:sz w:val="28"/>
          <w:szCs w:val="28"/>
        </w:rPr>
        <w:t xml:space="preserve">Видатки на забезпечення діяльності та виконання покладених функцій виконавчих органів Миколаївської міської ради на 2022-2024 роки розраховані на підставі прогнозних </w:t>
      </w:r>
      <w:proofErr w:type="spellStart"/>
      <w:r w:rsidRPr="00DC7E0E">
        <w:rPr>
          <w:rFonts w:ascii="Times New Roman" w:hAnsi="Times New Roman" w:cs="Times New Roman"/>
          <w:sz w:val="28"/>
          <w:szCs w:val="28"/>
        </w:rPr>
        <w:t>макропоказників</w:t>
      </w:r>
      <w:proofErr w:type="spellEnd"/>
      <w:r w:rsidRPr="00DC7E0E">
        <w:rPr>
          <w:rFonts w:ascii="Times New Roman" w:hAnsi="Times New Roman" w:cs="Times New Roman"/>
          <w:sz w:val="28"/>
          <w:szCs w:val="28"/>
        </w:rPr>
        <w:t xml:space="preserve"> економічного і соціального розвитку, затверджених постановою Кабінету Міністрів України від 31.05.2021 № 586 «Про схвалення Прогнозу економічного і соціального розвитку України на 2022-2024 роки».  </w:t>
      </w:r>
    </w:p>
    <w:p w:rsidR="001B4BA8" w:rsidRPr="00DC7E0E" w:rsidRDefault="001B4BA8" w:rsidP="001B4BA8">
      <w:pPr>
        <w:pStyle w:val="afb"/>
        <w:ind w:firstLine="567"/>
        <w:jc w:val="both"/>
        <w:rPr>
          <w:rFonts w:ascii="Times New Roman" w:hAnsi="Times New Roman" w:cs="Times New Roman"/>
          <w:sz w:val="28"/>
          <w:szCs w:val="28"/>
        </w:rPr>
      </w:pPr>
      <w:r w:rsidRPr="00DC7E0E">
        <w:rPr>
          <w:rFonts w:ascii="Times New Roman" w:hAnsi="Times New Roman" w:cs="Times New Roman"/>
          <w:sz w:val="28"/>
          <w:szCs w:val="28"/>
        </w:rPr>
        <w:t>Видатки на оплату праці з нарахуваннями розраховано відповідно до постанови Кабінету Міністрів України від 09 березня 2006 року №268 «Про упорядкування структури та умов оплати праці працівників апарату органів виконавчої влади, органів прокуратури, судів та інших органів».</w:t>
      </w:r>
    </w:p>
    <w:p w:rsidR="001B4BA8" w:rsidRPr="00DC7E0E" w:rsidRDefault="001B4BA8" w:rsidP="001B4BA8">
      <w:pPr>
        <w:pStyle w:val="afb"/>
        <w:ind w:firstLine="567"/>
        <w:jc w:val="both"/>
        <w:rPr>
          <w:rFonts w:ascii="Times New Roman" w:hAnsi="Times New Roman" w:cs="Times New Roman"/>
          <w:sz w:val="28"/>
          <w:szCs w:val="28"/>
        </w:rPr>
      </w:pPr>
      <w:r w:rsidRPr="00DC7E0E">
        <w:rPr>
          <w:rFonts w:ascii="Times New Roman" w:hAnsi="Times New Roman" w:cs="Times New Roman"/>
          <w:sz w:val="28"/>
          <w:szCs w:val="28"/>
        </w:rPr>
        <w:t>До розрахунків заробітної плати враховані посадові оклади на рівні 2021 року.</w:t>
      </w:r>
    </w:p>
    <w:p w:rsidR="001B4BA8" w:rsidRPr="00DC7E0E" w:rsidRDefault="001B4BA8" w:rsidP="001B4BA8">
      <w:pPr>
        <w:pStyle w:val="afb"/>
        <w:ind w:firstLine="567"/>
        <w:jc w:val="both"/>
        <w:rPr>
          <w:rFonts w:ascii="Times New Roman" w:hAnsi="Times New Roman" w:cs="Times New Roman"/>
          <w:sz w:val="28"/>
          <w:szCs w:val="28"/>
        </w:rPr>
      </w:pPr>
      <w:r w:rsidRPr="00DC7E0E">
        <w:rPr>
          <w:rFonts w:ascii="Times New Roman" w:hAnsi="Times New Roman" w:cs="Times New Roman"/>
          <w:sz w:val="28"/>
          <w:szCs w:val="28"/>
        </w:rPr>
        <w:t xml:space="preserve">При плануванні прогнозних показників на 2022-2024 роки були враховані заходи, спрямовані на створення </w:t>
      </w:r>
      <w:r w:rsidRPr="00DC7E0E">
        <w:rPr>
          <w:rFonts w:ascii="Times New Roman" w:hAnsi="Times New Roman" w:cs="Times New Roman"/>
          <w:sz w:val="28"/>
          <w:szCs w:val="28"/>
          <w:shd w:val="clear" w:color="auto" w:fill="FFFFFF"/>
        </w:rPr>
        <w:t>належних умов для задоволення потреб територіальної громади м. Миколаєва у сфері надання адміністративних послуг, а також у сфері організації видачі суб'єктам господарювання документів дозвільного характеру,</w:t>
      </w:r>
      <w:r w:rsidRPr="00DC7E0E">
        <w:rPr>
          <w:rFonts w:ascii="Times New Roman" w:hAnsi="Times New Roman" w:cs="Times New Roman"/>
          <w:sz w:val="28"/>
          <w:szCs w:val="28"/>
        </w:rPr>
        <w:t xml:space="preserve"> зокрема розбудова мережі центрів з надання адміністративних послуг у віддалених районах міста, придбання обладнання для надання адміністративних послуг особам з вадами слуху. </w:t>
      </w:r>
    </w:p>
    <w:p w:rsidR="001B4BA8" w:rsidRPr="00DC7E0E" w:rsidRDefault="001B4BA8" w:rsidP="001B4BA8">
      <w:pPr>
        <w:pStyle w:val="afb"/>
        <w:ind w:firstLine="567"/>
        <w:jc w:val="both"/>
        <w:rPr>
          <w:rFonts w:ascii="Times New Roman" w:hAnsi="Times New Roman" w:cs="Times New Roman"/>
          <w:sz w:val="28"/>
          <w:szCs w:val="28"/>
        </w:rPr>
      </w:pPr>
      <w:r w:rsidRPr="00DC7E0E">
        <w:rPr>
          <w:rFonts w:ascii="Times New Roman" w:hAnsi="Times New Roman" w:cs="Times New Roman"/>
          <w:sz w:val="28"/>
          <w:szCs w:val="28"/>
        </w:rPr>
        <w:t>Також видатки заплановані на здійснення на території міста Миколаєва державно архітектурно-будівельного контролю, самоврядного контролю за благоустроєм міста; регулювання земельних правовідносин, інших повноважень.</w:t>
      </w:r>
    </w:p>
    <w:p w:rsidR="00AD1118" w:rsidRPr="00DC7E0E" w:rsidRDefault="00AD1118" w:rsidP="00F96494">
      <w:pPr>
        <w:tabs>
          <w:tab w:val="left" w:pos="993"/>
        </w:tabs>
        <w:ind w:firstLine="708"/>
        <w:jc w:val="both"/>
        <w:rPr>
          <w:sz w:val="28"/>
          <w:szCs w:val="28"/>
          <w:lang w:val="uk-UA"/>
        </w:rPr>
      </w:pPr>
    </w:p>
    <w:p w:rsidR="000615F6" w:rsidRPr="00DC7E0E" w:rsidRDefault="000615F6" w:rsidP="001B4BA8">
      <w:pPr>
        <w:tabs>
          <w:tab w:val="left" w:pos="993"/>
          <w:tab w:val="left" w:pos="4170"/>
        </w:tabs>
        <w:ind w:firstLine="708"/>
        <w:rPr>
          <w:b/>
          <w:bCs/>
          <w:i/>
          <w:iCs/>
          <w:sz w:val="28"/>
          <w:szCs w:val="28"/>
          <w:lang w:val="uk-UA"/>
        </w:rPr>
      </w:pPr>
      <w:bookmarkStart w:id="1" w:name="_Hlk78893083"/>
      <w:r w:rsidRPr="00DC7E0E">
        <w:rPr>
          <w:b/>
          <w:bCs/>
          <w:i/>
          <w:iCs/>
          <w:sz w:val="28"/>
          <w:szCs w:val="28"/>
          <w:lang w:val="uk-UA"/>
        </w:rPr>
        <w:t xml:space="preserve">Освіта </w:t>
      </w:r>
    </w:p>
    <w:bookmarkEnd w:id="1"/>
    <w:p w:rsidR="001B4BA8" w:rsidRPr="00DC7E0E" w:rsidRDefault="001B4BA8" w:rsidP="001B4BA8">
      <w:pPr>
        <w:autoSpaceDE w:val="0"/>
        <w:autoSpaceDN w:val="0"/>
        <w:adjustRightInd w:val="0"/>
        <w:ind w:firstLine="709"/>
        <w:jc w:val="both"/>
        <w:rPr>
          <w:sz w:val="28"/>
          <w:szCs w:val="28"/>
          <w:lang w:val="uk-UA"/>
        </w:rPr>
      </w:pPr>
      <w:r w:rsidRPr="00DC7E0E">
        <w:rPr>
          <w:sz w:val="28"/>
          <w:szCs w:val="28"/>
          <w:lang w:val="uk-UA"/>
        </w:rPr>
        <w:t>Для забезпечення досягнення цілей державної політики у сфері освіти на 2022-2024 роках з бюджету Миколаївської міської територіальної громади планується спрямувати бюджетні кошті в обсязі:</w:t>
      </w:r>
    </w:p>
    <w:p w:rsidR="001B4BA8" w:rsidRPr="00DC7E0E" w:rsidRDefault="001B4BA8" w:rsidP="001B4BA8">
      <w:pPr>
        <w:ind w:firstLine="709"/>
        <w:jc w:val="both"/>
        <w:rPr>
          <w:sz w:val="28"/>
          <w:szCs w:val="28"/>
          <w:lang w:val="uk-UA"/>
        </w:rPr>
      </w:pPr>
      <w:r w:rsidRPr="00DC7E0E">
        <w:rPr>
          <w:sz w:val="28"/>
          <w:szCs w:val="28"/>
          <w:lang w:val="uk-UA"/>
        </w:rPr>
        <w:t>2022 рік – 2 274</w:t>
      </w:r>
      <w:r w:rsidR="00CB5C5A" w:rsidRPr="00DC7E0E">
        <w:rPr>
          <w:sz w:val="28"/>
          <w:szCs w:val="28"/>
          <w:lang w:val="uk-UA"/>
        </w:rPr>
        <w:t> </w:t>
      </w:r>
      <w:r w:rsidRPr="00DC7E0E">
        <w:rPr>
          <w:sz w:val="28"/>
          <w:szCs w:val="28"/>
          <w:lang w:val="uk-UA"/>
        </w:rPr>
        <w:t>04</w:t>
      </w:r>
      <w:r w:rsidR="00CB5C5A" w:rsidRPr="00DC7E0E">
        <w:rPr>
          <w:sz w:val="28"/>
          <w:szCs w:val="28"/>
          <w:lang w:val="uk-UA"/>
        </w:rPr>
        <w:t>2,0</w:t>
      </w:r>
      <w:r w:rsidRPr="00DC7E0E">
        <w:rPr>
          <w:sz w:val="28"/>
          <w:szCs w:val="28"/>
          <w:lang w:val="uk-UA"/>
        </w:rPr>
        <w:t xml:space="preserve"> </w:t>
      </w:r>
      <w:r w:rsidR="00CB5C5A" w:rsidRPr="00DC7E0E">
        <w:rPr>
          <w:sz w:val="28"/>
          <w:szCs w:val="28"/>
          <w:lang w:val="uk-UA"/>
        </w:rPr>
        <w:t xml:space="preserve">тис. </w:t>
      </w:r>
      <w:r w:rsidRPr="00DC7E0E">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w:t>
      </w:r>
    </w:p>
    <w:p w:rsidR="001B4BA8" w:rsidRPr="00DC7E0E" w:rsidRDefault="001B4BA8" w:rsidP="001B4BA8">
      <w:pPr>
        <w:ind w:firstLine="709"/>
        <w:jc w:val="both"/>
        <w:rPr>
          <w:sz w:val="28"/>
          <w:szCs w:val="28"/>
          <w:lang w:val="uk-UA"/>
        </w:rPr>
      </w:pPr>
      <w:r w:rsidRPr="00DC7E0E">
        <w:rPr>
          <w:sz w:val="28"/>
          <w:szCs w:val="28"/>
          <w:lang w:val="uk-UA"/>
        </w:rPr>
        <w:t>2023 рік – 2 473</w:t>
      </w:r>
      <w:r w:rsidR="00CB5C5A" w:rsidRPr="00DC7E0E">
        <w:rPr>
          <w:sz w:val="28"/>
          <w:szCs w:val="28"/>
          <w:lang w:val="uk-UA"/>
        </w:rPr>
        <w:t> </w:t>
      </w:r>
      <w:r w:rsidRPr="00DC7E0E">
        <w:rPr>
          <w:sz w:val="28"/>
          <w:szCs w:val="28"/>
          <w:lang w:val="uk-UA"/>
        </w:rPr>
        <w:t>014</w:t>
      </w:r>
      <w:r w:rsidR="00CB5C5A" w:rsidRPr="00DC7E0E">
        <w:rPr>
          <w:sz w:val="28"/>
          <w:szCs w:val="28"/>
          <w:lang w:val="uk-UA"/>
        </w:rPr>
        <w:t>,3</w:t>
      </w:r>
      <w:r w:rsidRPr="00DC7E0E">
        <w:rPr>
          <w:sz w:val="28"/>
          <w:szCs w:val="28"/>
          <w:lang w:val="uk-UA"/>
        </w:rPr>
        <w:t xml:space="preserve"> </w:t>
      </w:r>
      <w:r w:rsidR="00CB5C5A" w:rsidRPr="00DC7E0E">
        <w:rPr>
          <w:sz w:val="28"/>
          <w:szCs w:val="28"/>
          <w:lang w:val="uk-UA"/>
        </w:rPr>
        <w:t>тис.</w:t>
      </w:r>
      <w:r w:rsidRPr="00DC7E0E">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w:t>
      </w:r>
    </w:p>
    <w:p w:rsidR="001B4BA8" w:rsidRPr="00DC7E0E" w:rsidRDefault="001B4BA8" w:rsidP="001B4BA8">
      <w:pPr>
        <w:ind w:firstLine="709"/>
        <w:jc w:val="both"/>
        <w:rPr>
          <w:sz w:val="28"/>
          <w:szCs w:val="28"/>
          <w:lang w:val="uk-UA"/>
        </w:rPr>
      </w:pPr>
      <w:r w:rsidRPr="00DC7E0E">
        <w:rPr>
          <w:sz w:val="28"/>
          <w:szCs w:val="28"/>
          <w:lang w:val="uk-UA"/>
        </w:rPr>
        <w:t>2024 рік – 2 636</w:t>
      </w:r>
      <w:r w:rsidR="00CB5C5A" w:rsidRPr="00DC7E0E">
        <w:rPr>
          <w:sz w:val="28"/>
          <w:szCs w:val="28"/>
          <w:lang w:val="uk-UA"/>
        </w:rPr>
        <w:t> </w:t>
      </w:r>
      <w:r w:rsidRPr="00DC7E0E">
        <w:rPr>
          <w:sz w:val="28"/>
          <w:szCs w:val="28"/>
          <w:lang w:val="uk-UA"/>
        </w:rPr>
        <w:t>507</w:t>
      </w:r>
      <w:r w:rsidR="00CB5C5A" w:rsidRPr="00DC7E0E">
        <w:rPr>
          <w:sz w:val="28"/>
          <w:szCs w:val="28"/>
          <w:lang w:val="uk-UA"/>
        </w:rPr>
        <w:t>,4 тис.</w:t>
      </w:r>
      <w:r w:rsidRPr="00DC7E0E">
        <w:rPr>
          <w:sz w:val="28"/>
          <w:szCs w:val="28"/>
          <w:lang w:val="uk-UA"/>
        </w:rPr>
        <w:t xml:space="preserve"> грн.</w:t>
      </w:r>
    </w:p>
    <w:p w:rsidR="001B4BA8" w:rsidRPr="00DC7E0E" w:rsidRDefault="001B4BA8" w:rsidP="001B4BA8">
      <w:pPr>
        <w:autoSpaceDE w:val="0"/>
        <w:autoSpaceDN w:val="0"/>
        <w:adjustRightInd w:val="0"/>
        <w:ind w:firstLine="709"/>
        <w:jc w:val="both"/>
        <w:rPr>
          <w:sz w:val="28"/>
          <w:szCs w:val="28"/>
          <w:lang w:val="uk-UA"/>
        </w:rPr>
      </w:pPr>
      <w:r w:rsidRPr="00DC7E0E">
        <w:rPr>
          <w:sz w:val="28"/>
          <w:szCs w:val="28"/>
          <w:lang w:val="uk-UA"/>
        </w:rPr>
        <w:t xml:space="preserve">Прогнозні показники видатків на 2022-2024 роки відображені на підставі поданих головними розпорядниками коштів пропозицій до Прогнозу, </w:t>
      </w:r>
      <w:r w:rsidRPr="00DC7E0E">
        <w:rPr>
          <w:rFonts w:eastAsia="CIDFont+F2"/>
          <w:sz w:val="28"/>
          <w:szCs w:val="28"/>
          <w:lang w:val="uk-UA"/>
        </w:rPr>
        <w:t xml:space="preserve">з урахуванням основних </w:t>
      </w:r>
      <w:proofErr w:type="spellStart"/>
      <w:r w:rsidRPr="00DC7E0E">
        <w:rPr>
          <w:rFonts w:eastAsia="CIDFont+F2"/>
          <w:sz w:val="28"/>
          <w:szCs w:val="28"/>
          <w:lang w:val="uk-UA"/>
        </w:rPr>
        <w:t>макропоказників</w:t>
      </w:r>
      <w:proofErr w:type="spellEnd"/>
      <w:r w:rsidRPr="00DC7E0E">
        <w:rPr>
          <w:rFonts w:eastAsia="CIDFont+F2"/>
          <w:sz w:val="28"/>
          <w:szCs w:val="28"/>
          <w:lang w:val="uk-UA"/>
        </w:rPr>
        <w:t xml:space="preserve"> економічного і соціального розвитку України на 2022</w:t>
      </w:r>
      <w:r w:rsidR="00B0024C" w:rsidRPr="00DC7E0E">
        <w:rPr>
          <w:rFonts w:eastAsia="CIDFont+F2"/>
          <w:sz w:val="28"/>
          <w:szCs w:val="28"/>
          <w:lang w:val="uk-UA"/>
        </w:rPr>
        <w:t>-</w:t>
      </w:r>
      <w:r w:rsidRPr="00DC7E0E">
        <w:rPr>
          <w:rFonts w:eastAsia="CIDFont+F2"/>
          <w:sz w:val="28"/>
          <w:szCs w:val="28"/>
          <w:lang w:val="uk-UA"/>
        </w:rPr>
        <w:t xml:space="preserve">2024 роки та обрахованих відповідно до них розмірів мінімальної заробітної плати, посадового окладу працівника І тарифного розряду ЄТС, прожиткового мінімуму для відповідної категорії. </w:t>
      </w:r>
      <w:r w:rsidRPr="00DC7E0E">
        <w:rPr>
          <w:sz w:val="28"/>
          <w:szCs w:val="28"/>
          <w:lang w:val="uk-UA"/>
        </w:rPr>
        <w:t>У прогнозних показниках в повному обсязі передбачені видатки на оплату праці працівників бюджетних установ та оплату енергоносіїв.</w:t>
      </w:r>
    </w:p>
    <w:p w:rsidR="001B4BA8" w:rsidRPr="00DC7E0E" w:rsidRDefault="001B4BA8" w:rsidP="001B4BA8">
      <w:pPr>
        <w:ind w:firstLine="567"/>
        <w:jc w:val="both"/>
        <w:rPr>
          <w:sz w:val="28"/>
          <w:szCs w:val="28"/>
          <w:lang w:val="uk-UA"/>
        </w:rPr>
      </w:pPr>
      <w:r w:rsidRPr="00DC7E0E">
        <w:rPr>
          <w:sz w:val="28"/>
          <w:szCs w:val="28"/>
          <w:lang w:val="uk-UA"/>
        </w:rPr>
        <w:lastRenderedPageBreak/>
        <w:t xml:space="preserve">Прогнозними показниками видатків бюджету Миколаївської міської територіальної громади на 2022-2024 роки планується спрямувати кошти на здійснення діяльності 173 закладів, в тому числі 163 закладів, підпорядкованих управлінню освіти Миколаївської міської ради (73 дошкільні навчальні заклади, 51 загальноосвітні школи, 5 ліцеїв, 7 гімназій, колегіум, 2 школи з поглибленим вивченням англійської мови з 1 класу, Миколаївська спеціальна школа для дітей з порушеннями зору Миколаївської міської ради Миколаївської області, спеціалізована школа І-ІІІ ступенів мистецтв і прикладних ремесел експериментальний навчальний заклад всеукраїнського рівня «Академія дитячої творчості» Миколаївської міської ради Миколаївської області, палац творчості учнів, будинок творчості дітей та юнацтва </w:t>
      </w:r>
      <w:proofErr w:type="spellStart"/>
      <w:r w:rsidRPr="00DC7E0E">
        <w:rPr>
          <w:sz w:val="28"/>
          <w:szCs w:val="28"/>
          <w:lang w:val="uk-UA"/>
        </w:rPr>
        <w:t>Інгульського</w:t>
      </w:r>
      <w:proofErr w:type="spellEnd"/>
      <w:r w:rsidRPr="00DC7E0E">
        <w:rPr>
          <w:sz w:val="28"/>
          <w:szCs w:val="28"/>
          <w:lang w:val="uk-UA"/>
        </w:rPr>
        <w:t xml:space="preserve"> району, будинок дитячої та юнацької творчості Заводського району, дитячий центр позашкільної роботи Корабельного району, міська станція юних техніків, клуб юних моряків з флотилією, міська станція юних натуралістів, 7 закладів </w:t>
      </w:r>
      <w:r w:rsidRPr="00DC7E0E">
        <w:rPr>
          <w:bCs/>
          <w:sz w:val="28"/>
          <w:szCs w:val="28"/>
          <w:lang w:val="uk-UA"/>
        </w:rPr>
        <w:t xml:space="preserve">професійної (професійно-технічної) освіти, </w:t>
      </w:r>
      <w:r w:rsidRPr="00DC7E0E">
        <w:rPr>
          <w:sz w:val="28"/>
          <w:szCs w:val="28"/>
          <w:lang w:val="uk-UA"/>
        </w:rPr>
        <w:t>вищий навчальний заклад Миколаївський муніципальний академічний коледж, централізована бухгалтерія, господарча група управління освіти, логопедичний пункт, будинок вчителя, 4 інклюзивно-ресурсних центрів, центру професійного розвитку педагогічних працівників) та 10 шкіл естетичного виховання дітей, підпорядкованих управлінню з питань культури та охорони культурної спадщини</w:t>
      </w:r>
      <w:r w:rsidR="00802C47">
        <w:rPr>
          <w:sz w:val="28"/>
          <w:szCs w:val="28"/>
          <w:lang w:val="uk-UA"/>
        </w:rPr>
        <w:t xml:space="preserve"> Миколаївської міської ради</w:t>
      </w:r>
      <w:r w:rsidRPr="00DC7E0E">
        <w:rPr>
          <w:sz w:val="28"/>
          <w:szCs w:val="28"/>
          <w:lang w:val="uk-UA"/>
        </w:rPr>
        <w:t xml:space="preserve">. </w:t>
      </w:r>
    </w:p>
    <w:p w:rsidR="001B4BA8" w:rsidRPr="00DC7E0E" w:rsidRDefault="001B4BA8" w:rsidP="001B4BA8">
      <w:pPr>
        <w:ind w:firstLine="709"/>
        <w:jc w:val="both"/>
        <w:rPr>
          <w:sz w:val="28"/>
          <w:szCs w:val="28"/>
          <w:lang w:val="uk-UA"/>
        </w:rPr>
      </w:pPr>
      <w:r w:rsidRPr="00DC7E0E">
        <w:rPr>
          <w:sz w:val="28"/>
          <w:szCs w:val="28"/>
          <w:lang w:val="uk-UA"/>
        </w:rPr>
        <w:t>Відповідно до частини третьої статті 103</w:t>
      </w:r>
      <w:r w:rsidRPr="00DC7E0E">
        <w:rPr>
          <w:sz w:val="28"/>
          <w:szCs w:val="28"/>
          <w:vertAlign w:val="superscript"/>
          <w:lang w:val="uk-UA"/>
        </w:rPr>
        <w:t>2</w:t>
      </w:r>
      <w:r w:rsidRPr="00DC7E0E">
        <w:rPr>
          <w:sz w:val="28"/>
          <w:szCs w:val="28"/>
          <w:lang w:val="uk-UA"/>
        </w:rPr>
        <w:t xml:space="preserve"> Бюджетного кодексу України освітня субвенція розподіляється між відповідними бюджетами на основі формули, яка розробляється центральним органом виконавчої влади, що забезпечує формування та реалізує державну політику у сфері освіти, та затверджується Кабінетом Міністрів України і враховує, зокрема, такі параметри: </w:t>
      </w:r>
    </w:p>
    <w:p w:rsidR="001B4BA8" w:rsidRPr="00DC7E0E" w:rsidRDefault="001B4BA8" w:rsidP="001B4BA8">
      <w:pPr>
        <w:ind w:firstLine="709"/>
        <w:jc w:val="both"/>
        <w:rPr>
          <w:sz w:val="28"/>
          <w:szCs w:val="28"/>
          <w:lang w:val="uk-UA"/>
        </w:rPr>
      </w:pPr>
      <w:r w:rsidRPr="00DC7E0E">
        <w:rPr>
          <w:sz w:val="28"/>
          <w:szCs w:val="28"/>
          <w:lang w:val="uk-UA"/>
        </w:rPr>
        <w:t>1) кількість учнів закладів загальної середньої освіти;</w:t>
      </w:r>
    </w:p>
    <w:p w:rsidR="001B4BA8" w:rsidRPr="00DC7E0E" w:rsidRDefault="001B4BA8" w:rsidP="001B4BA8">
      <w:pPr>
        <w:ind w:firstLine="709"/>
        <w:jc w:val="both"/>
        <w:rPr>
          <w:sz w:val="28"/>
          <w:szCs w:val="28"/>
          <w:lang w:val="uk-UA"/>
        </w:rPr>
      </w:pPr>
      <w:r w:rsidRPr="00DC7E0E">
        <w:rPr>
          <w:sz w:val="28"/>
          <w:szCs w:val="28"/>
          <w:lang w:val="uk-UA"/>
        </w:rPr>
        <w:t>2) розрахункову наповнюваність класів</w:t>
      </w:r>
      <w:r w:rsidR="00CB5C5A" w:rsidRPr="00DC7E0E">
        <w:rPr>
          <w:sz w:val="28"/>
          <w:szCs w:val="28"/>
          <w:lang w:val="uk-UA"/>
        </w:rPr>
        <w:t>.</w:t>
      </w:r>
    </w:p>
    <w:p w:rsidR="001B4BA8" w:rsidRPr="00DC7E0E" w:rsidRDefault="001B4BA8" w:rsidP="001B4BA8">
      <w:pPr>
        <w:ind w:firstLine="709"/>
        <w:jc w:val="both"/>
        <w:rPr>
          <w:sz w:val="28"/>
          <w:szCs w:val="28"/>
          <w:lang w:val="uk-UA"/>
        </w:rPr>
      </w:pPr>
      <w:r w:rsidRPr="00DC7E0E">
        <w:rPr>
          <w:sz w:val="28"/>
          <w:szCs w:val="28"/>
          <w:lang w:val="uk-UA"/>
        </w:rPr>
        <w:t>Розподіл обсягу освітньої субвенції між місцевими бюджетами щороку здійснюється на підставі контингенту учнів усіх типів закладів загальної середньої освіти станом на 5 вересня року, що передує плановому бюджетному періоду.</w:t>
      </w:r>
    </w:p>
    <w:p w:rsidR="001B4BA8" w:rsidRPr="00DC7E0E" w:rsidRDefault="001B4BA8" w:rsidP="001B4BA8">
      <w:pPr>
        <w:ind w:firstLine="567"/>
        <w:jc w:val="both"/>
        <w:rPr>
          <w:b/>
          <w:sz w:val="28"/>
          <w:szCs w:val="28"/>
          <w:lang w:val="uk-UA"/>
        </w:rPr>
      </w:pPr>
      <w:r w:rsidRPr="00DC7E0E">
        <w:rPr>
          <w:sz w:val="28"/>
          <w:szCs w:val="28"/>
          <w:lang w:val="uk-UA"/>
        </w:rPr>
        <w:t>В прогнозних показниках бюджету Миколаївської міської територіальної громади на 2022-2024 роки заплановано отримання освітньої субвенції з державного бюджету на 2022 рік – 849</w:t>
      </w:r>
      <w:r w:rsidR="00CB5C5A" w:rsidRPr="00DC7E0E">
        <w:rPr>
          <w:sz w:val="28"/>
          <w:szCs w:val="28"/>
          <w:lang w:val="uk-UA"/>
        </w:rPr>
        <w:t> </w:t>
      </w:r>
      <w:r w:rsidRPr="00DC7E0E">
        <w:rPr>
          <w:sz w:val="28"/>
          <w:szCs w:val="28"/>
          <w:lang w:val="uk-UA"/>
        </w:rPr>
        <w:t>648</w:t>
      </w:r>
      <w:r w:rsidR="00CB5C5A" w:rsidRPr="00DC7E0E">
        <w:rPr>
          <w:sz w:val="28"/>
          <w:szCs w:val="28"/>
          <w:lang w:val="uk-UA"/>
        </w:rPr>
        <w:t>,</w:t>
      </w:r>
      <w:r w:rsidRPr="00DC7E0E">
        <w:rPr>
          <w:sz w:val="28"/>
          <w:szCs w:val="28"/>
          <w:lang w:val="uk-UA"/>
        </w:rPr>
        <w:t>6</w:t>
      </w:r>
      <w:r w:rsidR="00CB5C5A" w:rsidRPr="00DC7E0E">
        <w:rPr>
          <w:sz w:val="28"/>
          <w:szCs w:val="28"/>
          <w:lang w:val="uk-UA"/>
        </w:rPr>
        <w:t xml:space="preserve"> тис.</w:t>
      </w:r>
      <w:r w:rsidRPr="00DC7E0E">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 на 2023 рік – 930</w:t>
      </w:r>
      <w:r w:rsidR="00CB5C5A" w:rsidRPr="00DC7E0E">
        <w:rPr>
          <w:sz w:val="28"/>
          <w:szCs w:val="28"/>
          <w:lang w:val="uk-UA"/>
        </w:rPr>
        <w:t> </w:t>
      </w:r>
      <w:r w:rsidRPr="00DC7E0E">
        <w:rPr>
          <w:sz w:val="28"/>
          <w:szCs w:val="28"/>
          <w:lang w:val="uk-UA"/>
        </w:rPr>
        <w:t>573</w:t>
      </w:r>
      <w:r w:rsidR="00CB5C5A" w:rsidRPr="00DC7E0E">
        <w:rPr>
          <w:sz w:val="28"/>
          <w:szCs w:val="28"/>
          <w:lang w:val="uk-UA"/>
        </w:rPr>
        <w:t>,</w:t>
      </w:r>
      <w:r w:rsidRPr="00DC7E0E">
        <w:rPr>
          <w:sz w:val="28"/>
          <w:szCs w:val="28"/>
          <w:lang w:val="uk-UA"/>
        </w:rPr>
        <w:t>1</w:t>
      </w:r>
      <w:r w:rsidR="00CB5C5A" w:rsidRPr="00DC7E0E">
        <w:rPr>
          <w:sz w:val="28"/>
          <w:szCs w:val="28"/>
          <w:lang w:val="uk-UA"/>
        </w:rPr>
        <w:t xml:space="preserve"> </w:t>
      </w:r>
      <w:proofErr w:type="spellStart"/>
      <w:r w:rsidR="00CB5C5A" w:rsidRPr="00DC7E0E">
        <w:rPr>
          <w:sz w:val="28"/>
          <w:szCs w:val="28"/>
          <w:lang w:val="uk-UA"/>
        </w:rPr>
        <w:t>тис.</w:t>
      </w:r>
      <w:r w:rsidRPr="00DC7E0E">
        <w:rPr>
          <w:sz w:val="28"/>
          <w:szCs w:val="28"/>
          <w:lang w:val="uk-UA"/>
        </w:rPr>
        <w:t>грн</w:t>
      </w:r>
      <w:proofErr w:type="spellEnd"/>
      <w:r w:rsidRPr="00DC7E0E">
        <w:rPr>
          <w:sz w:val="28"/>
          <w:szCs w:val="28"/>
          <w:lang w:val="uk-UA"/>
        </w:rPr>
        <w:t>; на 2024 рік – 994</w:t>
      </w:r>
      <w:r w:rsidR="00CB5C5A" w:rsidRPr="00DC7E0E">
        <w:rPr>
          <w:sz w:val="28"/>
          <w:szCs w:val="28"/>
          <w:lang w:val="uk-UA"/>
        </w:rPr>
        <w:t> </w:t>
      </w:r>
      <w:r w:rsidRPr="00DC7E0E">
        <w:rPr>
          <w:sz w:val="28"/>
          <w:szCs w:val="28"/>
          <w:lang w:val="uk-UA"/>
        </w:rPr>
        <w:t>074</w:t>
      </w:r>
      <w:r w:rsidR="00CB5C5A" w:rsidRPr="00DC7E0E">
        <w:rPr>
          <w:sz w:val="28"/>
          <w:szCs w:val="28"/>
          <w:lang w:val="uk-UA"/>
        </w:rPr>
        <w:t>,</w:t>
      </w:r>
      <w:r w:rsidRPr="00DC7E0E">
        <w:rPr>
          <w:sz w:val="28"/>
          <w:szCs w:val="28"/>
          <w:lang w:val="uk-UA"/>
        </w:rPr>
        <w:t>9</w:t>
      </w:r>
      <w:r w:rsidR="00CB5C5A" w:rsidRPr="00DC7E0E">
        <w:rPr>
          <w:sz w:val="28"/>
          <w:szCs w:val="28"/>
          <w:lang w:val="uk-UA"/>
        </w:rPr>
        <w:t xml:space="preserve"> тис.</w:t>
      </w:r>
      <w:r w:rsidRPr="00DC7E0E">
        <w:rPr>
          <w:sz w:val="28"/>
          <w:szCs w:val="28"/>
          <w:lang w:val="uk-UA"/>
        </w:rPr>
        <w:t xml:space="preserve"> грн.</w:t>
      </w:r>
    </w:p>
    <w:p w:rsidR="001B4BA8" w:rsidRPr="00DC7E0E" w:rsidRDefault="001B4BA8" w:rsidP="001B4BA8">
      <w:pPr>
        <w:pStyle w:val="a7"/>
        <w:tabs>
          <w:tab w:val="left" w:pos="993"/>
        </w:tabs>
        <w:ind w:left="709"/>
        <w:jc w:val="both"/>
        <w:rPr>
          <w:sz w:val="28"/>
          <w:szCs w:val="28"/>
          <w:highlight w:val="yellow"/>
          <w:lang w:val="uk-UA"/>
        </w:rPr>
      </w:pPr>
    </w:p>
    <w:p w:rsidR="000615F6" w:rsidRPr="00DC7E0E" w:rsidRDefault="000615F6" w:rsidP="00F96494">
      <w:pPr>
        <w:tabs>
          <w:tab w:val="left" w:pos="993"/>
        </w:tabs>
        <w:ind w:firstLine="708"/>
        <w:rPr>
          <w:b/>
          <w:bCs/>
          <w:i/>
          <w:iCs/>
          <w:sz w:val="28"/>
          <w:szCs w:val="28"/>
          <w:lang w:val="uk-UA"/>
        </w:rPr>
      </w:pPr>
      <w:r w:rsidRPr="00DC7E0E">
        <w:rPr>
          <w:b/>
          <w:bCs/>
          <w:i/>
          <w:iCs/>
          <w:sz w:val="28"/>
          <w:szCs w:val="28"/>
          <w:lang w:val="uk-UA"/>
        </w:rPr>
        <w:t>Охорона здоров’я</w:t>
      </w:r>
    </w:p>
    <w:p w:rsidR="00515F47" w:rsidRPr="00DC7E0E" w:rsidRDefault="00515F47" w:rsidP="00515F47">
      <w:pPr>
        <w:tabs>
          <w:tab w:val="left" w:pos="993"/>
        </w:tabs>
        <w:ind w:firstLine="567"/>
        <w:jc w:val="both"/>
        <w:rPr>
          <w:sz w:val="28"/>
          <w:szCs w:val="28"/>
          <w:lang w:val="uk-UA"/>
        </w:rPr>
      </w:pPr>
      <w:r w:rsidRPr="00DC7E0E">
        <w:rPr>
          <w:sz w:val="28"/>
          <w:szCs w:val="28"/>
          <w:lang w:val="uk-UA"/>
        </w:rPr>
        <w:t xml:space="preserve">Покращення стану здоров’я населення міста Миколаєва шляхом забезпечення універсального доступу громадян до гарантованого пакета необхідних медичних послуг та лікарських засобів є важливим напрямом реалізації органами місцевого самоврядування державної політики у сфері охорони здоров’я.  </w:t>
      </w:r>
    </w:p>
    <w:p w:rsidR="00515F47" w:rsidRPr="00DC7E0E" w:rsidRDefault="00515F47" w:rsidP="00515F47">
      <w:pPr>
        <w:tabs>
          <w:tab w:val="left" w:pos="993"/>
        </w:tabs>
        <w:ind w:firstLine="567"/>
        <w:jc w:val="both"/>
        <w:rPr>
          <w:sz w:val="28"/>
          <w:szCs w:val="28"/>
          <w:lang w:val="uk-UA"/>
        </w:rPr>
      </w:pPr>
      <w:r w:rsidRPr="00DC7E0E">
        <w:rPr>
          <w:sz w:val="28"/>
          <w:szCs w:val="28"/>
          <w:lang w:val="uk-UA"/>
        </w:rPr>
        <w:lastRenderedPageBreak/>
        <w:t xml:space="preserve">З 1 квітня 2020 року в Україні змінено систему фінансування охорони здоров’я, зокрема медична послуга оплачена за програмою медичних гарантій з державного бюджету, фінансування послуги відбувається через єдиного </w:t>
      </w:r>
      <w:proofErr w:type="spellStart"/>
      <w:r w:rsidRPr="00DC7E0E">
        <w:rPr>
          <w:sz w:val="28"/>
          <w:szCs w:val="28"/>
          <w:lang w:val="uk-UA"/>
        </w:rPr>
        <w:t>закупівельника</w:t>
      </w:r>
      <w:proofErr w:type="spellEnd"/>
      <w:r w:rsidRPr="00DC7E0E">
        <w:rPr>
          <w:sz w:val="28"/>
          <w:szCs w:val="28"/>
          <w:lang w:val="uk-UA"/>
        </w:rPr>
        <w:t xml:space="preserve"> - Національною службою здоров’я України (далі – НСЗУ). Також служба контролює дотримання умов договорів та робить прямі виплати закладам за надані послуги. Видатки не покриті коштами НСЗУ, можливо проводити тільки через заходи міської цільової програми.</w:t>
      </w:r>
    </w:p>
    <w:p w:rsidR="00515F47" w:rsidRPr="00DC7E0E" w:rsidRDefault="00515F47" w:rsidP="00515F47">
      <w:pPr>
        <w:tabs>
          <w:tab w:val="left" w:pos="993"/>
        </w:tabs>
        <w:ind w:firstLine="567"/>
        <w:jc w:val="both"/>
        <w:rPr>
          <w:sz w:val="28"/>
          <w:szCs w:val="28"/>
          <w:lang w:val="uk-UA"/>
        </w:rPr>
      </w:pPr>
      <w:r w:rsidRPr="00DC7E0E">
        <w:rPr>
          <w:sz w:val="28"/>
          <w:szCs w:val="28"/>
          <w:lang w:val="uk-UA"/>
        </w:rPr>
        <w:t>Тому, з метою забезпечення видатків на проведення міської цільової програми, головним виконавцем якої є управління охорони здоров'я Миколаївської міської ради - це надання фінансової підтримки 18 комунальним некомерційним підприємствам охорони здоров’я.</w:t>
      </w:r>
    </w:p>
    <w:p w:rsidR="00515F47" w:rsidRPr="00DC7E0E" w:rsidRDefault="00515F47" w:rsidP="00515F47">
      <w:pPr>
        <w:tabs>
          <w:tab w:val="left" w:pos="993"/>
        </w:tabs>
        <w:autoSpaceDE w:val="0"/>
        <w:autoSpaceDN w:val="0"/>
        <w:adjustRightInd w:val="0"/>
        <w:ind w:firstLine="567"/>
        <w:jc w:val="both"/>
        <w:rPr>
          <w:sz w:val="28"/>
          <w:szCs w:val="28"/>
          <w:lang w:val="uk-UA"/>
        </w:rPr>
      </w:pPr>
      <w:r w:rsidRPr="00DC7E0E">
        <w:rPr>
          <w:sz w:val="28"/>
          <w:szCs w:val="28"/>
          <w:lang w:val="uk-UA"/>
        </w:rPr>
        <w:t>Для забезпечення досягнення цілей державної політики у сфері охорони здоров’я на 2022 – 2024 роках з бюджету Миколаївської міської територіальної громади планується спрямувати бюджетні кошті в обсязі:</w:t>
      </w:r>
    </w:p>
    <w:p w:rsidR="00515F47" w:rsidRPr="00DC7E0E" w:rsidRDefault="00515F47" w:rsidP="00515F47">
      <w:pPr>
        <w:tabs>
          <w:tab w:val="left" w:pos="993"/>
        </w:tabs>
        <w:ind w:firstLine="567"/>
        <w:jc w:val="both"/>
        <w:rPr>
          <w:sz w:val="28"/>
          <w:szCs w:val="28"/>
          <w:lang w:val="uk-UA"/>
        </w:rPr>
      </w:pPr>
      <w:r w:rsidRPr="00DC7E0E">
        <w:rPr>
          <w:sz w:val="28"/>
          <w:szCs w:val="28"/>
          <w:lang w:val="uk-UA"/>
        </w:rPr>
        <w:t xml:space="preserve">2022 рік – 110 000,0 тис. </w:t>
      </w:r>
      <w:proofErr w:type="spellStart"/>
      <w:r w:rsidRPr="00DC7E0E">
        <w:rPr>
          <w:sz w:val="28"/>
          <w:szCs w:val="28"/>
          <w:lang w:val="uk-UA"/>
        </w:rPr>
        <w:t>грн</w:t>
      </w:r>
      <w:proofErr w:type="spellEnd"/>
      <w:r w:rsidRPr="00DC7E0E">
        <w:rPr>
          <w:sz w:val="28"/>
          <w:szCs w:val="28"/>
          <w:lang w:val="uk-UA"/>
        </w:rPr>
        <w:t>;</w:t>
      </w:r>
    </w:p>
    <w:p w:rsidR="00515F47" w:rsidRPr="00DC7E0E" w:rsidRDefault="00515F47" w:rsidP="00515F47">
      <w:pPr>
        <w:tabs>
          <w:tab w:val="left" w:pos="993"/>
        </w:tabs>
        <w:ind w:firstLine="567"/>
        <w:jc w:val="both"/>
        <w:rPr>
          <w:sz w:val="28"/>
          <w:szCs w:val="28"/>
          <w:lang w:val="uk-UA"/>
        </w:rPr>
      </w:pPr>
      <w:r w:rsidRPr="00DC7E0E">
        <w:rPr>
          <w:sz w:val="28"/>
          <w:szCs w:val="28"/>
          <w:lang w:val="uk-UA"/>
        </w:rPr>
        <w:t xml:space="preserve">2023 рік – 116 539,0 тис. </w:t>
      </w:r>
      <w:proofErr w:type="spellStart"/>
      <w:r w:rsidRPr="00DC7E0E">
        <w:rPr>
          <w:sz w:val="28"/>
          <w:szCs w:val="28"/>
          <w:lang w:val="uk-UA"/>
        </w:rPr>
        <w:t>грн</w:t>
      </w:r>
      <w:proofErr w:type="spellEnd"/>
      <w:r w:rsidRPr="00DC7E0E">
        <w:rPr>
          <w:sz w:val="28"/>
          <w:szCs w:val="28"/>
          <w:lang w:val="uk-UA"/>
        </w:rPr>
        <w:t>;</w:t>
      </w:r>
    </w:p>
    <w:p w:rsidR="00515F47" w:rsidRPr="00DC7E0E" w:rsidRDefault="00515F47" w:rsidP="00515F47">
      <w:pPr>
        <w:tabs>
          <w:tab w:val="left" w:pos="993"/>
        </w:tabs>
        <w:ind w:firstLine="567"/>
        <w:jc w:val="both"/>
        <w:rPr>
          <w:sz w:val="28"/>
          <w:szCs w:val="28"/>
          <w:lang w:val="uk-UA"/>
        </w:rPr>
      </w:pPr>
      <w:r w:rsidRPr="00DC7E0E">
        <w:rPr>
          <w:sz w:val="28"/>
          <w:szCs w:val="28"/>
          <w:lang w:val="uk-UA"/>
        </w:rPr>
        <w:t>2024 рік – 122 899,7 тис. грн.</w:t>
      </w:r>
    </w:p>
    <w:p w:rsidR="00515F47" w:rsidRPr="00DC7E0E" w:rsidRDefault="00515F47" w:rsidP="00515F47">
      <w:pPr>
        <w:tabs>
          <w:tab w:val="num" w:pos="851"/>
          <w:tab w:val="left" w:pos="993"/>
          <w:tab w:val="num" w:pos="1287"/>
        </w:tabs>
        <w:ind w:firstLine="567"/>
        <w:jc w:val="both"/>
        <w:rPr>
          <w:sz w:val="28"/>
          <w:szCs w:val="28"/>
          <w:lang w:val="uk-UA"/>
        </w:rPr>
      </w:pPr>
      <w:r w:rsidRPr="00DC7E0E">
        <w:rPr>
          <w:sz w:val="28"/>
          <w:szCs w:val="28"/>
          <w:lang w:val="uk-UA"/>
        </w:rPr>
        <w:t>Пріоритетними напрямами фінансового забезпечення цієї галузі визначено створення умов для стабільного функціонування комунальних некомерційних підприємств охорони здоров’я, зміцнення їх матеріально-технічної бази, впровадження медичних технологій та підвищення якості надання медичної допомоги.</w:t>
      </w:r>
    </w:p>
    <w:p w:rsidR="00515F47" w:rsidRPr="00DC7E0E" w:rsidRDefault="00515F47" w:rsidP="00515F47">
      <w:pPr>
        <w:pStyle w:val="ab"/>
        <w:tabs>
          <w:tab w:val="left" w:pos="993"/>
          <w:tab w:val="left" w:pos="9639"/>
        </w:tabs>
        <w:spacing w:after="0"/>
        <w:ind w:right="-1" w:firstLine="567"/>
        <w:jc w:val="both"/>
        <w:rPr>
          <w:rStyle w:val="s1"/>
          <w:b/>
          <w:sz w:val="28"/>
          <w:szCs w:val="28"/>
          <w:lang w:val="uk-UA"/>
        </w:rPr>
      </w:pPr>
      <w:r w:rsidRPr="00DC7E0E">
        <w:rPr>
          <w:sz w:val="28"/>
          <w:szCs w:val="28"/>
          <w:lang w:val="uk-UA"/>
        </w:rPr>
        <w:t>Протягом 2022-2024 років кошти бюджету планується спрямовувати на виконання заходів із:</w:t>
      </w:r>
    </w:p>
    <w:p w:rsidR="00515F47" w:rsidRPr="00DC7E0E" w:rsidRDefault="00515F47" w:rsidP="00515F47">
      <w:pPr>
        <w:pStyle w:val="a7"/>
        <w:numPr>
          <w:ilvl w:val="0"/>
          <w:numId w:val="17"/>
        </w:numPr>
        <w:tabs>
          <w:tab w:val="left" w:pos="993"/>
        </w:tabs>
        <w:ind w:left="0" w:firstLine="567"/>
        <w:jc w:val="both"/>
        <w:rPr>
          <w:rStyle w:val="s1"/>
          <w:bCs/>
          <w:sz w:val="28"/>
          <w:szCs w:val="28"/>
          <w:lang w:val="uk-UA"/>
        </w:rPr>
      </w:pPr>
      <w:r w:rsidRPr="00DC7E0E">
        <w:rPr>
          <w:rStyle w:val="s1"/>
          <w:bCs/>
          <w:sz w:val="28"/>
          <w:szCs w:val="28"/>
          <w:lang w:val="uk-UA"/>
        </w:rPr>
        <w:t>забезпечення оплати комунальних послуг та енергоносіїв;</w:t>
      </w:r>
    </w:p>
    <w:p w:rsidR="00515F47" w:rsidRPr="00DC7E0E" w:rsidRDefault="00515F47" w:rsidP="00515F47">
      <w:pPr>
        <w:pStyle w:val="a7"/>
        <w:numPr>
          <w:ilvl w:val="0"/>
          <w:numId w:val="17"/>
        </w:numPr>
        <w:tabs>
          <w:tab w:val="left" w:pos="993"/>
        </w:tabs>
        <w:ind w:left="0" w:firstLine="567"/>
        <w:jc w:val="both"/>
        <w:rPr>
          <w:rStyle w:val="s1"/>
          <w:bCs/>
          <w:sz w:val="28"/>
          <w:szCs w:val="28"/>
          <w:lang w:val="uk-UA"/>
        </w:rPr>
      </w:pPr>
      <w:r w:rsidRPr="00DC7E0E">
        <w:rPr>
          <w:rStyle w:val="s1"/>
          <w:bCs/>
          <w:sz w:val="28"/>
          <w:szCs w:val="28"/>
          <w:lang w:val="uk-UA"/>
        </w:rPr>
        <w:t xml:space="preserve">покращення матеріально-технічної бази </w:t>
      </w:r>
      <w:r w:rsidRPr="00DC7E0E">
        <w:rPr>
          <w:sz w:val="28"/>
          <w:szCs w:val="28"/>
          <w:lang w:val="uk-UA"/>
        </w:rPr>
        <w:t>закладів охорони здоров’я</w:t>
      </w:r>
      <w:r w:rsidRPr="00DC7E0E">
        <w:rPr>
          <w:rStyle w:val="s1"/>
          <w:bCs/>
          <w:sz w:val="28"/>
          <w:szCs w:val="28"/>
          <w:lang w:val="uk-UA"/>
        </w:rPr>
        <w:t>;</w:t>
      </w:r>
    </w:p>
    <w:p w:rsidR="00515F47" w:rsidRPr="00DC7E0E" w:rsidRDefault="00515F47" w:rsidP="00515F47">
      <w:pPr>
        <w:pStyle w:val="a7"/>
        <w:numPr>
          <w:ilvl w:val="0"/>
          <w:numId w:val="17"/>
        </w:numPr>
        <w:tabs>
          <w:tab w:val="left" w:pos="993"/>
        </w:tabs>
        <w:ind w:left="0" w:firstLine="567"/>
        <w:jc w:val="both"/>
        <w:rPr>
          <w:rStyle w:val="s1"/>
          <w:bCs/>
          <w:sz w:val="28"/>
          <w:szCs w:val="28"/>
          <w:lang w:val="uk-UA"/>
        </w:rPr>
      </w:pPr>
      <w:r w:rsidRPr="00DC7E0E">
        <w:rPr>
          <w:sz w:val="28"/>
          <w:szCs w:val="28"/>
          <w:lang w:val="uk-UA"/>
        </w:rPr>
        <w:t xml:space="preserve">забезпечення </w:t>
      </w:r>
      <w:r w:rsidRPr="00DC7E0E">
        <w:rPr>
          <w:rStyle w:val="s1"/>
          <w:bCs/>
          <w:sz w:val="28"/>
          <w:szCs w:val="28"/>
          <w:lang w:val="uk-UA"/>
        </w:rPr>
        <w:t xml:space="preserve">ендопротезами суглобів пільговій категорії населення міста для КНП ММР «Міська лікарня №3» та КНП ММР «Міська лікарня швидкої медичної допомоги»; </w:t>
      </w:r>
    </w:p>
    <w:p w:rsidR="00515F47" w:rsidRPr="00DC7E0E" w:rsidRDefault="00515F47" w:rsidP="00515F47">
      <w:pPr>
        <w:pStyle w:val="a7"/>
        <w:numPr>
          <w:ilvl w:val="0"/>
          <w:numId w:val="17"/>
        </w:numPr>
        <w:tabs>
          <w:tab w:val="left" w:pos="993"/>
        </w:tabs>
        <w:ind w:left="0" w:firstLine="567"/>
        <w:jc w:val="both"/>
        <w:rPr>
          <w:rStyle w:val="s1"/>
          <w:bCs/>
          <w:sz w:val="28"/>
          <w:szCs w:val="28"/>
          <w:lang w:val="uk-UA"/>
        </w:rPr>
      </w:pPr>
      <w:r w:rsidRPr="00DC7E0E">
        <w:rPr>
          <w:sz w:val="28"/>
          <w:szCs w:val="28"/>
          <w:lang w:val="uk-UA"/>
        </w:rPr>
        <w:t>забезпечення безоплатним та пільговим відпуском лікарських засобів за рецептами лікарів, відповідно до</w:t>
      </w:r>
      <w:r w:rsidRPr="00DC7E0E">
        <w:rPr>
          <w:rStyle w:val="s1"/>
          <w:bCs/>
          <w:sz w:val="28"/>
          <w:szCs w:val="28"/>
          <w:lang w:val="uk-UA"/>
        </w:rPr>
        <w:t xml:space="preserve"> постанови КМУ № 1303, </w:t>
      </w:r>
      <w:r w:rsidRPr="00DC7E0E">
        <w:rPr>
          <w:sz w:val="28"/>
          <w:szCs w:val="28"/>
          <w:lang w:val="uk-UA"/>
        </w:rPr>
        <w:t>для забезпечення хворих дітей на рідкісні (</w:t>
      </w:r>
      <w:proofErr w:type="spellStart"/>
      <w:r w:rsidRPr="00DC7E0E">
        <w:rPr>
          <w:sz w:val="28"/>
          <w:szCs w:val="28"/>
          <w:lang w:val="uk-UA"/>
        </w:rPr>
        <w:t>орфанні</w:t>
      </w:r>
      <w:proofErr w:type="spellEnd"/>
      <w:r w:rsidRPr="00DC7E0E">
        <w:rPr>
          <w:sz w:val="28"/>
          <w:szCs w:val="28"/>
          <w:lang w:val="uk-UA"/>
        </w:rPr>
        <w:t>) захворювання (</w:t>
      </w:r>
      <w:proofErr w:type="spellStart"/>
      <w:r w:rsidRPr="00DC7E0E">
        <w:rPr>
          <w:sz w:val="28"/>
          <w:szCs w:val="28"/>
          <w:lang w:val="uk-UA"/>
        </w:rPr>
        <w:t>фенілкетанурію</w:t>
      </w:r>
      <w:proofErr w:type="spellEnd"/>
      <w:r w:rsidRPr="00DC7E0E">
        <w:rPr>
          <w:sz w:val="28"/>
          <w:szCs w:val="28"/>
          <w:lang w:val="uk-UA"/>
        </w:rPr>
        <w:t xml:space="preserve">, </w:t>
      </w:r>
      <w:proofErr w:type="spellStart"/>
      <w:r w:rsidRPr="00DC7E0E">
        <w:rPr>
          <w:sz w:val="28"/>
          <w:szCs w:val="28"/>
          <w:lang w:val="uk-UA"/>
        </w:rPr>
        <w:t>муковісцидоз</w:t>
      </w:r>
      <w:proofErr w:type="spellEnd"/>
      <w:r w:rsidRPr="00DC7E0E">
        <w:rPr>
          <w:sz w:val="28"/>
          <w:szCs w:val="28"/>
          <w:lang w:val="uk-UA"/>
        </w:rPr>
        <w:t>) відповідними харчовими продуктами, забезпечення інвалідів засобами догляду за стомою, підгузками та іншими технічними засобами,</w:t>
      </w:r>
      <w:r w:rsidRPr="00DC7E0E">
        <w:rPr>
          <w:rStyle w:val="s1"/>
          <w:bCs/>
          <w:sz w:val="28"/>
          <w:szCs w:val="28"/>
          <w:lang w:val="uk-UA"/>
        </w:rPr>
        <w:t xml:space="preserve"> пільгове зубопротезування, відповідно до вимог чинного законодавства).</w:t>
      </w:r>
      <w:r w:rsidRPr="00DC7E0E">
        <w:rPr>
          <w:szCs w:val="28"/>
          <w:lang w:val="uk-UA"/>
        </w:rPr>
        <w:t xml:space="preserve"> </w:t>
      </w:r>
      <w:r w:rsidRPr="00DC7E0E">
        <w:rPr>
          <w:sz w:val="28"/>
          <w:szCs w:val="28"/>
          <w:lang w:val="uk-UA"/>
        </w:rPr>
        <w:t>Крім цього, відповідно Закону України «Про дитяче харчування» від 14.09.2006       № 142-V передбачено забезпечення молочними сумішами та продуктами дитячого харчування, безкоштовним лікувальним харчуванням (молочними сумішами, сухими, консервованими та ін. спеціалізованими продуктами дитячого харчування) дітей грудного і другого року життя із малозабезпечених сімей; дітей грудного та раннього віку, які постраждали внаслідок Чорнобильської катастрофи та інше.</w:t>
      </w:r>
    </w:p>
    <w:p w:rsidR="000615F6" w:rsidRDefault="000615F6" w:rsidP="00F96494">
      <w:pPr>
        <w:pStyle w:val="a7"/>
        <w:tabs>
          <w:tab w:val="left" w:pos="993"/>
        </w:tabs>
        <w:ind w:left="0" w:firstLine="708"/>
        <w:rPr>
          <w:sz w:val="28"/>
          <w:szCs w:val="28"/>
          <w:lang w:val="uk-UA"/>
        </w:rPr>
      </w:pPr>
    </w:p>
    <w:p w:rsidR="008E6AF0" w:rsidRDefault="008E6AF0" w:rsidP="00F96494">
      <w:pPr>
        <w:pStyle w:val="a7"/>
        <w:tabs>
          <w:tab w:val="left" w:pos="993"/>
        </w:tabs>
        <w:ind w:left="0" w:firstLine="708"/>
        <w:rPr>
          <w:sz w:val="28"/>
          <w:szCs w:val="28"/>
          <w:lang w:val="uk-UA"/>
        </w:rPr>
      </w:pPr>
    </w:p>
    <w:p w:rsidR="008E6AF0" w:rsidRPr="00DC7E0E" w:rsidRDefault="008E6AF0" w:rsidP="00F96494">
      <w:pPr>
        <w:pStyle w:val="a7"/>
        <w:tabs>
          <w:tab w:val="left" w:pos="993"/>
        </w:tabs>
        <w:ind w:left="0" w:firstLine="708"/>
        <w:rPr>
          <w:sz w:val="28"/>
          <w:szCs w:val="28"/>
          <w:lang w:val="uk-UA"/>
        </w:rPr>
      </w:pPr>
    </w:p>
    <w:p w:rsidR="003202BD" w:rsidRPr="00DC7E0E" w:rsidRDefault="003202BD" w:rsidP="00F96494">
      <w:pPr>
        <w:ind w:firstLine="708"/>
        <w:rPr>
          <w:b/>
          <w:i/>
          <w:sz w:val="28"/>
          <w:szCs w:val="28"/>
          <w:lang w:val="uk-UA"/>
        </w:rPr>
      </w:pPr>
      <w:r w:rsidRPr="00DC7E0E">
        <w:rPr>
          <w:b/>
          <w:i/>
          <w:sz w:val="28"/>
          <w:szCs w:val="28"/>
          <w:lang w:val="uk-UA"/>
        </w:rPr>
        <w:lastRenderedPageBreak/>
        <w:t>Соціальний захист</w:t>
      </w:r>
    </w:p>
    <w:p w:rsidR="00B47C9A" w:rsidRPr="00DC7E0E" w:rsidRDefault="00B47C9A" w:rsidP="00B47C9A">
      <w:pPr>
        <w:ind w:firstLine="567"/>
        <w:jc w:val="both"/>
        <w:rPr>
          <w:sz w:val="28"/>
          <w:szCs w:val="28"/>
          <w:lang w:val="uk-UA"/>
        </w:rPr>
      </w:pPr>
      <w:r w:rsidRPr="00DC7E0E">
        <w:rPr>
          <w:sz w:val="28"/>
          <w:szCs w:val="28"/>
          <w:lang w:val="uk-UA"/>
        </w:rPr>
        <w:t xml:space="preserve">Основними цілями реалізації державної політики у сфері соціального захисту та соціального забезпечення на 2022-2024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 </w:t>
      </w:r>
    </w:p>
    <w:p w:rsidR="00B47C9A" w:rsidRPr="00DC7E0E" w:rsidRDefault="00B47C9A" w:rsidP="00B47C9A">
      <w:pPr>
        <w:autoSpaceDE w:val="0"/>
        <w:autoSpaceDN w:val="0"/>
        <w:adjustRightInd w:val="0"/>
        <w:ind w:firstLine="567"/>
        <w:jc w:val="both"/>
        <w:rPr>
          <w:sz w:val="28"/>
          <w:szCs w:val="28"/>
          <w:lang w:val="uk-UA"/>
        </w:rPr>
      </w:pPr>
      <w:r w:rsidRPr="00DC7E0E">
        <w:rPr>
          <w:sz w:val="28"/>
          <w:szCs w:val="28"/>
          <w:lang w:val="uk-UA"/>
        </w:rPr>
        <w:t>Для забезпечення досягнення цілей державної політики у 2022</w:t>
      </w:r>
      <w:r w:rsidR="00FC7A77" w:rsidRPr="00DC7E0E">
        <w:rPr>
          <w:sz w:val="28"/>
          <w:szCs w:val="28"/>
          <w:lang w:val="uk-UA"/>
        </w:rPr>
        <w:t>-</w:t>
      </w:r>
      <w:r w:rsidRPr="00DC7E0E">
        <w:rPr>
          <w:sz w:val="28"/>
          <w:szCs w:val="28"/>
          <w:lang w:val="uk-UA"/>
        </w:rPr>
        <w:t>2024 роках із загального фонду бюджету Миколаївської міської територіальної громади планується спрямувати бюджетні кошті в обсязі:</w:t>
      </w:r>
    </w:p>
    <w:p w:rsidR="00B47C9A" w:rsidRPr="00DC7E0E" w:rsidRDefault="00B47C9A" w:rsidP="00B47C9A">
      <w:pPr>
        <w:ind w:firstLine="567"/>
        <w:jc w:val="both"/>
        <w:rPr>
          <w:sz w:val="28"/>
          <w:szCs w:val="28"/>
          <w:lang w:val="uk-UA"/>
        </w:rPr>
      </w:pPr>
      <w:r w:rsidRPr="00DC7E0E">
        <w:rPr>
          <w:sz w:val="28"/>
          <w:szCs w:val="28"/>
          <w:lang w:val="uk-UA"/>
        </w:rPr>
        <w:t xml:space="preserve">2022 рік </w:t>
      </w:r>
      <w:r w:rsidR="00DA1756" w:rsidRPr="00DC7E0E">
        <w:rPr>
          <w:sz w:val="28"/>
          <w:szCs w:val="28"/>
          <w:lang w:val="uk-UA"/>
        </w:rPr>
        <w:t xml:space="preserve">– </w:t>
      </w:r>
      <w:r w:rsidRPr="00DC7E0E">
        <w:rPr>
          <w:sz w:val="28"/>
          <w:szCs w:val="28"/>
          <w:lang w:val="uk-UA"/>
        </w:rPr>
        <w:t>192</w:t>
      </w:r>
      <w:r w:rsidR="00DA1756" w:rsidRPr="00DC7E0E">
        <w:rPr>
          <w:sz w:val="28"/>
          <w:szCs w:val="28"/>
          <w:lang w:val="uk-UA"/>
        </w:rPr>
        <w:t xml:space="preserve"> </w:t>
      </w:r>
      <w:r w:rsidRPr="00DC7E0E">
        <w:rPr>
          <w:sz w:val="28"/>
          <w:szCs w:val="28"/>
          <w:lang w:val="uk-UA"/>
        </w:rPr>
        <w:t xml:space="preserve">062,7 тис. </w:t>
      </w:r>
      <w:proofErr w:type="spellStart"/>
      <w:r w:rsidRPr="00DC7E0E">
        <w:rPr>
          <w:sz w:val="28"/>
          <w:szCs w:val="28"/>
          <w:lang w:val="uk-UA"/>
        </w:rPr>
        <w:t>грн</w:t>
      </w:r>
      <w:proofErr w:type="spellEnd"/>
      <w:r w:rsidRPr="00DC7E0E">
        <w:rPr>
          <w:sz w:val="28"/>
          <w:szCs w:val="28"/>
          <w:lang w:val="uk-UA"/>
        </w:rPr>
        <w:t>;</w:t>
      </w:r>
    </w:p>
    <w:p w:rsidR="00B47C9A" w:rsidRPr="00DC7E0E" w:rsidRDefault="00B47C9A" w:rsidP="00B47C9A">
      <w:pPr>
        <w:ind w:firstLine="567"/>
        <w:jc w:val="both"/>
        <w:rPr>
          <w:sz w:val="28"/>
          <w:szCs w:val="28"/>
          <w:lang w:val="uk-UA"/>
        </w:rPr>
      </w:pPr>
      <w:r w:rsidRPr="00DC7E0E">
        <w:rPr>
          <w:sz w:val="28"/>
          <w:szCs w:val="28"/>
          <w:lang w:val="uk-UA"/>
        </w:rPr>
        <w:t xml:space="preserve">2023 рік </w:t>
      </w:r>
      <w:r w:rsidR="00DA1756" w:rsidRPr="00DC7E0E">
        <w:rPr>
          <w:sz w:val="28"/>
          <w:szCs w:val="28"/>
          <w:lang w:val="uk-UA"/>
        </w:rPr>
        <w:t>–</w:t>
      </w:r>
      <w:r w:rsidRPr="00DC7E0E">
        <w:rPr>
          <w:sz w:val="28"/>
          <w:szCs w:val="28"/>
          <w:lang w:val="uk-UA"/>
        </w:rPr>
        <w:t xml:space="preserve"> 207 398,0 тис. </w:t>
      </w:r>
      <w:proofErr w:type="spellStart"/>
      <w:r w:rsidRPr="00DC7E0E">
        <w:rPr>
          <w:sz w:val="28"/>
          <w:szCs w:val="28"/>
          <w:lang w:val="uk-UA"/>
        </w:rPr>
        <w:t>грн</w:t>
      </w:r>
      <w:proofErr w:type="spellEnd"/>
      <w:r w:rsidRPr="00DC7E0E">
        <w:rPr>
          <w:sz w:val="28"/>
          <w:szCs w:val="28"/>
          <w:lang w:val="uk-UA"/>
        </w:rPr>
        <w:t>;</w:t>
      </w:r>
    </w:p>
    <w:p w:rsidR="00B47C9A" w:rsidRPr="00DC7E0E" w:rsidRDefault="00B47C9A" w:rsidP="00B47C9A">
      <w:pPr>
        <w:ind w:firstLine="567"/>
        <w:jc w:val="both"/>
        <w:rPr>
          <w:sz w:val="28"/>
          <w:szCs w:val="28"/>
          <w:lang w:val="uk-UA"/>
        </w:rPr>
      </w:pPr>
      <w:r w:rsidRPr="00DC7E0E">
        <w:rPr>
          <w:sz w:val="28"/>
          <w:szCs w:val="28"/>
          <w:lang w:val="uk-UA"/>
        </w:rPr>
        <w:t xml:space="preserve">2024 рік </w:t>
      </w:r>
      <w:r w:rsidR="00DA1756" w:rsidRPr="00DC7E0E">
        <w:rPr>
          <w:sz w:val="28"/>
          <w:szCs w:val="28"/>
          <w:lang w:val="uk-UA"/>
        </w:rPr>
        <w:t>–</w:t>
      </w:r>
      <w:r w:rsidRPr="00DC7E0E">
        <w:rPr>
          <w:sz w:val="28"/>
          <w:szCs w:val="28"/>
          <w:lang w:val="uk-UA"/>
        </w:rPr>
        <w:t xml:space="preserve"> 219</w:t>
      </w:r>
      <w:r w:rsidR="00DA1756" w:rsidRPr="00DC7E0E">
        <w:rPr>
          <w:sz w:val="28"/>
          <w:szCs w:val="28"/>
          <w:lang w:val="uk-UA"/>
        </w:rPr>
        <w:t xml:space="preserve"> </w:t>
      </w:r>
      <w:r w:rsidRPr="00DC7E0E">
        <w:rPr>
          <w:sz w:val="28"/>
          <w:szCs w:val="28"/>
          <w:lang w:val="uk-UA"/>
        </w:rPr>
        <w:t>151,2 тис. грн.</w:t>
      </w:r>
    </w:p>
    <w:p w:rsidR="00B47C9A" w:rsidRPr="00DC7E0E" w:rsidRDefault="00B47C9A" w:rsidP="00B47C9A">
      <w:pPr>
        <w:autoSpaceDE w:val="0"/>
        <w:autoSpaceDN w:val="0"/>
        <w:adjustRightInd w:val="0"/>
        <w:ind w:firstLine="567"/>
        <w:jc w:val="both"/>
        <w:rPr>
          <w:rFonts w:eastAsia="CIDFont+F2"/>
          <w:sz w:val="28"/>
          <w:szCs w:val="28"/>
          <w:lang w:val="uk-UA"/>
        </w:rPr>
      </w:pPr>
      <w:r w:rsidRPr="00DC7E0E">
        <w:rPr>
          <w:sz w:val="28"/>
          <w:szCs w:val="28"/>
          <w:lang w:val="uk-UA"/>
        </w:rPr>
        <w:t>Прогнозні показники видатків на 2022</w:t>
      </w:r>
      <w:r w:rsidR="00FC7A77" w:rsidRPr="00DC7E0E">
        <w:rPr>
          <w:sz w:val="28"/>
          <w:szCs w:val="28"/>
          <w:lang w:val="uk-UA"/>
        </w:rPr>
        <w:t>-</w:t>
      </w:r>
      <w:r w:rsidRPr="00DC7E0E">
        <w:rPr>
          <w:sz w:val="28"/>
          <w:szCs w:val="28"/>
          <w:lang w:val="uk-UA"/>
        </w:rPr>
        <w:t xml:space="preserve">2024 роки відображені на підставі поданих головними розпорядниками коштів пропозицій до Прогнозу, </w:t>
      </w:r>
      <w:r w:rsidRPr="00DC7E0E">
        <w:rPr>
          <w:rFonts w:eastAsia="CIDFont+F2"/>
          <w:sz w:val="28"/>
          <w:szCs w:val="28"/>
          <w:lang w:val="uk-UA"/>
        </w:rPr>
        <w:t xml:space="preserve">з урахуванням основних </w:t>
      </w:r>
      <w:proofErr w:type="spellStart"/>
      <w:r w:rsidRPr="00DC7E0E">
        <w:rPr>
          <w:rFonts w:eastAsia="CIDFont+F2"/>
          <w:sz w:val="28"/>
          <w:szCs w:val="28"/>
          <w:lang w:val="uk-UA"/>
        </w:rPr>
        <w:t>макропоказників</w:t>
      </w:r>
      <w:proofErr w:type="spellEnd"/>
      <w:r w:rsidRPr="00DC7E0E">
        <w:rPr>
          <w:rFonts w:eastAsia="CIDFont+F2"/>
          <w:sz w:val="28"/>
          <w:szCs w:val="28"/>
          <w:lang w:val="uk-UA"/>
        </w:rPr>
        <w:t xml:space="preserve"> економічного і соціального розвитку України на 2022</w:t>
      </w:r>
      <w:r w:rsidR="003D698B" w:rsidRPr="00DC7E0E">
        <w:rPr>
          <w:rFonts w:eastAsia="CIDFont+F2"/>
          <w:sz w:val="28"/>
          <w:szCs w:val="28"/>
          <w:lang w:val="uk-UA"/>
        </w:rPr>
        <w:t>-</w:t>
      </w:r>
      <w:r w:rsidRPr="00DC7E0E">
        <w:rPr>
          <w:rFonts w:eastAsia="CIDFont+F2"/>
          <w:sz w:val="28"/>
          <w:szCs w:val="28"/>
          <w:lang w:val="uk-UA"/>
        </w:rPr>
        <w:t xml:space="preserve">2024 роки та обрахованих відповідно до них розмірів мінімальної заробітної плати, посадового окладу працівника І тарифного розряду ЄТС, прожиткового мінімуму для відповідної категорії. </w:t>
      </w:r>
      <w:r w:rsidRPr="00DC7E0E">
        <w:rPr>
          <w:sz w:val="28"/>
          <w:szCs w:val="28"/>
          <w:lang w:val="uk-UA"/>
        </w:rPr>
        <w:t>У прогнозних показниках в повному обсязі передбачені видатки на оплату праці працівників бюджетних установ та оплату енергоносіїв.</w:t>
      </w:r>
    </w:p>
    <w:p w:rsidR="00B47C9A" w:rsidRPr="00DC7E0E" w:rsidRDefault="00B47C9A" w:rsidP="00B47C9A">
      <w:pPr>
        <w:pStyle w:val="27"/>
        <w:shd w:val="clear" w:color="auto" w:fill="auto"/>
        <w:spacing w:line="240" w:lineRule="auto"/>
        <w:ind w:firstLine="567"/>
        <w:jc w:val="both"/>
        <w:rPr>
          <w:rFonts w:cs="Times New Roman"/>
        </w:rPr>
      </w:pPr>
      <w:r w:rsidRPr="00DC7E0E">
        <w:rPr>
          <w:rFonts w:cs="Times New Roman"/>
        </w:rPr>
        <w:t>Прогнозними показниками видатків бюджету Миколаївської міської територіальної громади на 2022</w:t>
      </w:r>
      <w:r w:rsidR="003D698B" w:rsidRPr="00DC7E0E">
        <w:rPr>
          <w:rFonts w:cs="Times New Roman"/>
        </w:rPr>
        <w:t>-</w:t>
      </w:r>
      <w:r w:rsidRPr="00DC7E0E">
        <w:rPr>
          <w:rFonts w:cs="Times New Roman"/>
        </w:rPr>
        <w:t xml:space="preserve">2024 роки планується спрямувати кошти на  здійснення діяльності 7 установ соціального захисту населення, а саме: міського територіального центра соціального обслуговування (надання соціальних послуг); міського центра комплексної реабілітації для дітей з інвалідністю; центра реінтеграції бездомних громадян; комунальної установи «Міський геріатричний будинок милосердя імені Святого Миколая»; міського центра підтримки внутрішньо переміщених осіб та ветеранів АТО; </w:t>
      </w:r>
      <w:r w:rsidRPr="00DC7E0E">
        <w:rPr>
          <w:rFonts w:eastAsia="Times New Roman" w:cs="Times New Roman"/>
        </w:rPr>
        <w:t xml:space="preserve">міського центра соціально-психологічної реабілітації дітей та молоді з функціональними обмеженнями; </w:t>
      </w:r>
      <w:r w:rsidRPr="00DC7E0E">
        <w:rPr>
          <w:rFonts w:cs="Times New Roman"/>
        </w:rPr>
        <w:t>Миколаївського міського центра соціальних служб для сім’ї, дітей та молоді та враховані кошти на здійснення діяльності притулку для осіб, які постраждали від домашнього насильства та/або насильства за ознакою статі з утвореною при ньому мобільною бригадою, який є структурним підрозділом Миколаївського міського центру соціальних служб для сім'ї, дітей та молоді з штатною чисельністю 9,5 штатних посад.</w:t>
      </w:r>
    </w:p>
    <w:p w:rsidR="00B47C9A" w:rsidRPr="00DC7E0E" w:rsidRDefault="00B47C9A" w:rsidP="00B47C9A">
      <w:pPr>
        <w:pStyle w:val="a7"/>
        <w:tabs>
          <w:tab w:val="left" w:pos="993"/>
        </w:tabs>
        <w:ind w:left="0" w:firstLine="567"/>
        <w:jc w:val="both"/>
        <w:rPr>
          <w:sz w:val="28"/>
          <w:szCs w:val="28"/>
          <w:lang w:val="uk-UA"/>
        </w:rPr>
      </w:pPr>
      <w:r w:rsidRPr="00DC7E0E">
        <w:rPr>
          <w:sz w:val="28"/>
          <w:szCs w:val="28"/>
          <w:lang w:val="uk-UA"/>
        </w:rPr>
        <w:t>Крім того, на 2022 – 2024 роки плануються видатки на реалізацію міських програм «Соціальний захист», «Молодіжна політика», захисту прав дітей «Діти Миколаєва», оздоровлення та відпочинку дітей, «Освіта».  У межах міських програм за рахунок загального фонду планується провести фінансування таких соціально значущих видатків, як:</w:t>
      </w:r>
    </w:p>
    <w:p w:rsidR="00B47C9A" w:rsidRPr="00DC7E0E" w:rsidRDefault="00B47C9A" w:rsidP="00B47C9A">
      <w:pPr>
        <w:pStyle w:val="a7"/>
        <w:numPr>
          <w:ilvl w:val="0"/>
          <w:numId w:val="18"/>
        </w:numPr>
        <w:tabs>
          <w:tab w:val="left" w:pos="851"/>
        </w:tabs>
        <w:ind w:left="0" w:firstLine="567"/>
        <w:jc w:val="both"/>
        <w:rPr>
          <w:sz w:val="28"/>
          <w:szCs w:val="28"/>
          <w:lang w:val="uk-UA"/>
        </w:rPr>
      </w:pPr>
      <w:r w:rsidRPr="00DC7E0E">
        <w:rPr>
          <w:sz w:val="28"/>
          <w:szCs w:val="28"/>
          <w:shd w:val="clear" w:color="auto" w:fill="FFFFFF"/>
          <w:lang w:val="uk-UA"/>
        </w:rPr>
        <w:t>надання пільг з оплати послуг зв'язку, інших передбачених законодавством пільг окремим категоріям громадян та компенсації за пільговий проїзд окремих категорій громадян;</w:t>
      </w:r>
    </w:p>
    <w:p w:rsidR="00B47C9A" w:rsidRPr="00DC7E0E" w:rsidRDefault="00B47C9A" w:rsidP="00B47C9A">
      <w:pPr>
        <w:pStyle w:val="a7"/>
        <w:numPr>
          <w:ilvl w:val="0"/>
          <w:numId w:val="18"/>
        </w:numPr>
        <w:tabs>
          <w:tab w:val="left" w:pos="851"/>
        </w:tabs>
        <w:ind w:left="0" w:firstLine="567"/>
        <w:jc w:val="both"/>
        <w:rPr>
          <w:sz w:val="28"/>
          <w:szCs w:val="28"/>
          <w:lang w:val="uk-UA"/>
        </w:rPr>
      </w:pPr>
      <w:r w:rsidRPr="00DC7E0E">
        <w:rPr>
          <w:sz w:val="28"/>
          <w:szCs w:val="28"/>
          <w:shd w:val="clear" w:color="auto" w:fill="FFFFFF"/>
          <w:lang w:val="uk-UA"/>
        </w:rPr>
        <w:t>заходи з питань дітей та їх соціального захисту;</w:t>
      </w:r>
    </w:p>
    <w:p w:rsidR="00B47C9A" w:rsidRPr="00DC7E0E" w:rsidRDefault="00B47C9A" w:rsidP="00B47C9A">
      <w:pPr>
        <w:pStyle w:val="a7"/>
        <w:numPr>
          <w:ilvl w:val="0"/>
          <w:numId w:val="18"/>
        </w:numPr>
        <w:tabs>
          <w:tab w:val="left" w:pos="851"/>
        </w:tabs>
        <w:ind w:left="0" w:firstLine="567"/>
        <w:jc w:val="both"/>
        <w:rPr>
          <w:sz w:val="28"/>
          <w:szCs w:val="28"/>
          <w:lang w:val="uk-UA"/>
        </w:rPr>
      </w:pPr>
      <w:r w:rsidRPr="00DC7E0E">
        <w:rPr>
          <w:sz w:val="28"/>
          <w:szCs w:val="28"/>
          <w:shd w:val="clear" w:color="auto" w:fill="FFFFFF"/>
          <w:lang w:val="uk-UA"/>
        </w:rPr>
        <w:t>здійснення соціальної роботи з вразливими категоріями населення;</w:t>
      </w:r>
    </w:p>
    <w:p w:rsidR="00B47C9A" w:rsidRPr="00DC7E0E" w:rsidRDefault="00B47C9A" w:rsidP="00B47C9A">
      <w:pPr>
        <w:pStyle w:val="a7"/>
        <w:numPr>
          <w:ilvl w:val="0"/>
          <w:numId w:val="18"/>
        </w:numPr>
        <w:tabs>
          <w:tab w:val="left" w:pos="851"/>
        </w:tabs>
        <w:ind w:left="0" w:firstLine="567"/>
        <w:jc w:val="both"/>
        <w:rPr>
          <w:sz w:val="28"/>
          <w:szCs w:val="28"/>
          <w:lang w:val="uk-UA"/>
        </w:rPr>
      </w:pPr>
      <w:r w:rsidRPr="00DC7E0E">
        <w:rPr>
          <w:iCs/>
          <w:sz w:val="28"/>
          <w:szCs w:val="28"/>
          <w:shd w:val="clear" w:color="auto" w:fill="FFFFFF"/>
          <w:lang w:val="uk-UA"/>
        </w:rPr>
        <w:t>заходи молодіжної політики;</w:t>
      </w:r>
    </w:p>
    <w:p w:rsidR="00B47C9A" w:rsidRPr="00DC7E0E" w:rsidRDefault="00B47C9A" w:rsidP="00B47C9A">
      <w:pPr>
        <w:pStyle w:val="a7"/>
        <w:numPr>
          <w:ilvl w:val="0"/>
          <w:numId w:val="18"/>
        </w:numPr>
        <w:tabs>
          <w:tab w:val="left" w:pos="851"/>
        </w:tabs>
        <w:ind w:left="0" w:firstLine="567"/>
        <w:jc w:val="both"/>
        <w:rPr>
          <w:sz w:val="28"/>
          <w:szCs w:val="28"/>
          <w:lang w:val="uk-UA"/>
        </w:rPr>
      </w:pPr>
      <w:r w:rsidRPr="00DC7E0E">
        <w:rPr>
          <w:sz w:val="28"/>
          <w:szCs w:val="28"/>
          <w:lang w:val="uk-UA"/>
        </w:rPr>
        <w:lastRenderedPageBreak/>
        <w:t xml:space="preserve">оплату послуг з  відпочинку дітей, які потребують особливої соціальної уваги та підтримки, відповідно до категорій дітей, визначених Законом України «Про оздоровлення та відпочинок дітей»;  </w:t>
      </w:r>
    </w:p>
    <w:p w:rsidR="00B47C9A" w:rsidRPr="00DC7E0E" w:rsidRDefault="00B47C9A" w:rsidP="00B47C9A">
      <w:pPr>
        <w:pStyle w:val="a7"/>
        <w:numPr>
          <w:ilvl w:val="0"/>
          <w:numId w:val="18"/>
        </w:numPr>
        <w:tabs>
          <w:tab w:val="left" w:pos="851"/>
        </w:tabs>
        <w:ind w:left="0" w:firstLine="567"/>
        <w:jc w:val="both"/>
        <w:rPr>
          <w:sz w:val="28"/>
          <w:szCs w:val="28"/>
          <w:lang w:val="uk-UA"/>
        </w:rPr>
      </w:pPr>
      <w:r w:rsidRPr="00DC7E0E">
        <w:rPr>
          <w:sz w:val="28"/>
          <w:szCs w:val="28"/>
          <w:shd w:val="clear" w:color="auto" w:fill="FFFFFF"/>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rsidR="00B47C9A" w:rsidRPr="00DC7E0E" w:rsidRDefault="00B47C9A" w:rsidP="00B47C9A">
      <w:pPr>
        <w:pStyle w:val="a7"/>
        <w:numPr>
          <w:ilvl w:val="0"/>
          <w:numId w:val="18"/>
        </w:numPr>
        <w:tabs>
          <w:tab w:val="left" w:pos="851"/>
        </w:tabs>
        <w:ind w:left="0" w:firstLine="567"/>
        <w:jc w:val="both"/>
        <w:rPr>
          <w:sz w:val="28"/>
          <w:szCs w:val="28"/>
          <w:lang w:val="uk-UA"/>
        </w:rPr>
      </w:pPr>
      <w:r w:rsidRPr="00DC7E0E">
        <w:rPr>
          <w:sz w:val="28"/>
          <w:szCs w:val="28"/>
          <w:shd w:val="clear" w:color="auto" w:fill="FFFFFF"/>
          <w:lang w:val="uk-UA"/>
        </w:rPr>
        <w:t>соціальний захист ветеранів війни та праці.</w:t>
      </w:r>
    </w:p>
    <w:p w:rsidR="00B47C9A" w:rsidRPr="00DC7E0E" w:rsidRDefault="00B47C9A" w:rsidP="00B47C9A">
      <w:pPr>
        <w:pStyle w:val="a7"/>
        <w:numPr>
          <w:ilvl w:val="0"/>
          <w:numId w:val="18"/>
        </w:numPr>
        <w:tabs>
          <w:tab w:val="left" w:pos="851"/>
        </w:tabs>
        <w:ind w:left="0" w:firstLine="567"/>
        <w:jc w:val="both"/>
        <w:rPr>
          <w:sz w:val="28"/>
          <w:szCs w:val="28"/>
          <w:lang w:val="uk-UA"/>
        </w:rPr>
      </w:pPr>
      <w:r w:rsidRPr="00DC7E0E">
        <w:rPr>
          <w:iCs/>
          <w:sz w:val="28"/>
          <w:szCs w:val="28"/>
          <w:shd w:val="clear" w:color="auto" w:fill="FFFFFF"/>
          <w:lang w:val="uk-UA"/>
        </w:rPr>
        <w:t>інші заходи у сфері соціального захисту і соціального забезпечення.</w:t>
      </w:r>
    </w:p>
    <w:p w:rsidR="00B47C9A" w:rsidRPr="00DC7E0E" w:rsidRDefault="00B47C9A" w:rsidP="00B47C9A">
      <w:pPr>
        <w:pStyle w:val="a7"/>
        <w:tabs>
          <w:tab w:val="left" w:pos="993"/>
        </w:tabs>
        <w:ind w:left="0" w:firstLine="567"/>
        <w:jc w:val="both"/>
        <w:rPr>
          <w:sz w:val="28"/>
          <w:szCs w:val="28"/>
          <w:lang w:val="uk-UA"/>
        </w:rPr>
      </w:pPr>
      <w:r w:rsidRPr="00DC7E0E">
        <w:rPr>
          <w:sz w:val="28"/>
          <w:szCs w:val="28"/>
          <w:lang w:val="uk-UA"/>
        </w:rPr>
        <w:t xml:space="preserve">За рахунок бюджету розвитку планується освоїти кошти у 2022 році – 3189,5 тис. </w:t>
      </w:r>
      <w:proofErr w:type="spellStart"/>
      <w:r w:rsidRPr="00DC7E0E">
        <w:rPr>
          <w:sz w:val="28"/>
          <w:szCs w:val="28"/>
          <w:lang w:val="uk-UA"/>
        </w:rPr>
        <w:t>грн</w:t>
      </w:r>
      <w:proofErr w:type="spellEnd"/>
      <w:r w:rsidRPr="00DC7E0E">
        <w:rPr>
          <w:sz w:val="28"/>
          <w:szCs w:val="28"/>
          <w:lang w:val="uk-UA"/>
        </w:rPr>
        <w:t xml:space="preserve">, у 2023 році – 1859,3 тис. </w:t>
      </w:r>
      <w:proofErr w:type="spellStart"/>
      <w:r w:rsidRPr="00DC7E0E">
        <w:rPr>
          <w:sz w:val="28"/>
          <w:szCs w:val="28"/>
          <w:lang w:val="uk-UA"/>
        </w:rPr>
        <w:t>грн</w:t>
      </w:r>
      <w:proofErr w:type="spellEnd"/>
      <w:r w:rsidRPr="00DC7E0E">
        <w:rPr>
          <w:sz w:val="28"/>
          <w:szCs w:val="28"/>
          <w:lang w:val="uk-UA"/>
        </w:rPr>
        <w:t xml:space="preserve">, у 2024 році – 1834,7 тис. грн. Так у 2022 році планується направити кошти на: проведення безоплатного капітального ремонту власних житлових будинків і квартир особам, що мають право на таку пільгу – 500,0 тис. </w:t>
      </w:r>
      <w:proofErr w:type="spellStart"/>
      <w:r w:rsidRPr="00DC7E0E">
        <w:rPr>
          <w:sz w:val="28"/>
          <w:szCs w:val="28"/>
          <w:lang w:val="uk-UA"/>
        </w:rPr>
        <w:t>грн</w:t>
      </w:r>
      <w:proofErr w:type="spellEnd"/>
      <w:r w:rsidRPr="00DC7E0E">
        <w:rPr>
          <w:sz w:val="28"/>
          <w:szCs w:val="28"/>
          <w:lang w:val="uk-UA"/>
        </w:rPr>
        <w:t xml:space="preserve">; проведення </w:t>
      </w:r>
      <w:r w:rsidRPr="00DC7E0E">
        <w:rPr>
          <w:color w:val="000000"/>
          <w:sz w:val="28"/>
          <w:szCs w:val="28"/>
          <w:lang w:val="uk-UA"/>
        </w:rPr>
        <w:t xml:space="preserve">капітального ремонту та обладнання спеціальними засобами і пристосуваннями для адаптації житлових та санітарно-гігієнічних приміщень власних будинків та квартир особам з інвалідністю, які пересуваються на інвалідних візках  та особам, що виховують дітей з інвалідністю, які пересуваються  на інвалідних візках та потребують постійної сторонньої допомоги за місцем їх реєстрації у відповідності до вимог санітарних та будівельних норм – 1200,0 тис. </w:t>
      </w:r>
      <w:proofErr w:type="spellStart"/>
      <w:r w:rsidRPr="00DC7E0E">
        <w:rPr>
          <w:color w:val="000000"/>
          <w:sz w:val="28"/>
          <w:szCs w:val="28"/>
          <w:lang w:val="uk-UA"/>
        </w:rPr>
        <w:t>грн</w:t>
      </w:r>
      <w:proofErr w:type="spellEnd"/>
      <w:r w:rsidRPr="00DC7E0E">
        <w:rPr>
          <w:color w:val="000000"/>
          <w:sz w:val="28"/>
          <w:szCs w:val="28"/>
          <w:lang w:val="uk-UA"/>
        </w:rPr>
        <w:t xml:space="preserve">; придбання: мікроавтобусу для перевезення осіб з інвалідністю для </w:t>
      </w:r>
      <w:r w:rsidRPr="00DC7E0E">
        <w:rPr>
          <w:sz w:val="28"/>
          <w:szCs w:val="28"/>
          <w:lang w:val="uk-UA"/>
        </w:rPr>
        <w:t xml:space="preserve">комунальної установи «Міський геріатричний будинок милосердя імені Святого Миколая </w:t>
      </w:r>
      <w:r w:rsidRPr="00DC7E0E">
        <w:rPr>
          <w:b/>
          <w:sz w:val="28"/>
          <w:szCs w:val="28"/>
          <w:lang w:val="uk-UA"/>
        </w:rPr>
        <w:t xml:space="preserve">– </w:t>
      </w:r>
      <w:r w:rsidRPr="00DC7E0E">
        <w:rPr>
          <w:sz w:val="28"/>
          <w:szCs w:val="28"/>
          <w:lang w:val="uk-UA"/>
        </w:rPr>
        <w:t xml:space="preserve">989,0 тис. </w:t>
      </w:r>
      <w:proofErr w:type="spellStart"/>
      <w:r w:rsidRPr="00DC7E0E">
        <w:rPr>
          <w:sz w:val="28"/>
          <w:szCs w:val="28"/>
          <w:lang w:val="uk-UA"/>
        </w:rPr>
        <w:t>грн</w:t>
      </w:r>
      <w:proofErr w:type="spellEnd"/>
      <w:r w:rsidRPr="00DC7E0E">
        <w:rPr>
          <w:sz w:val="28"/>
          <w:szCs w:val="28"/>
          <w:lang w:val="uk-UA"/>
        </w:rPr>
        <w:t xml:space="preserve">; автомобіля для центра реінтеграції бездомних громадян – 250,0 тис. </w:t>
      </w:r>
      <w:proofErr w:type="spellStart"/>
      <w:r w:rsidRPr="00DC7E0E">
        <w:rPr>
          <w:sz w:val="28"/>
          <w:szCs w:val="28"/>
          <w:lang w:val="uk-UA"/>
        </w:rPr>
        <w:t>грн</w:t>
      </w:r>
      <w:proofErr w:type="spellEnd"/>
      <w:r w:rsidRPr="00DC7E0E">
        <w:rPr>
          <w:sz w:val="28"/>
          <w:szCs w:val="28"/>
          <w:lang w:val="uk-UA"/>
        </w:rPr>
        <w:t>;  обладнання і предметів довгострокового користування для установ соціального захисту населення – 250,5 тис. грн.</w:t>
      </w:r>
    </w:p>
    <w:p w:rsidR="003202BD" w:rsidRPr="00DC7E0E" w:rsidRDefault="003202BD" w:rsidP="00F96494">
      <w:pPr>
        <w:pStyle w:val="a7"/>
        <w:tabs>
          <w:tab w:val="left" w:pos="993"/>
        </w:tabs>
        <w:ind w:left="0" w:firstLine="708"/>
        <w:rPr>
          <w:sz w:val="28"/>
          <w:szCs w:val="28"/>
          <w:lang w:val="uk-UA"/>
        </w:rPr>
      </w:pPr>
    </w:p>
    <w:p w:rsidR="006327B8" w:rsidRPr="00DC7E0E" w:rsidRDefault="006327B8" w:rsidP="00F96494">
      <w:pPr>
        <w:ind w:firstLine="709"/>
        <w:rPr>
          <w:b/>
          <w:bCs/>
          <w:i/>
          <w:iCs/>
          <w:sz w:val="28"/>
          <w:szCs w:val="28"/>
          <w:lang w:val="uk-UA"/>
        </w:rPr>
      </w:pPr>
      <w:r w:rsidRPr="00DC7E0E">
        <w:rPr>
          <w:b/>
          <w:bCs/>
          <w:i/>
          <w:iCs/>
          <w:sz w:val="28"/>
          <w:szCs w:val="28"/>
          <w:lang w:val="uk-UA"/>
        </w:rPr>
        <w:t>Культура та туризм</w:t>
      </w:r>
    </w:p>
    <w:p w:rsidR="001F61CB" w:rsidRPr="00DC7E0E" w:rsidRDefault="001F61CB" w:rsidP="001F61CB">
      <w:pPr>
        <w:ind w:firstLine="709"/>
        <w:jc w:val="both"/>
        <w:rPr>
          <w:sz w:val="28"/>
          <w:szCs w:val="28"/>
          <w:lang w:val="uk-UA"/>
        </w:rPr>
      </w:pPr>
      <w:r w:rsidRPr="00DC7E0E">
        <w:rPr>
          <w:sz w:val="28"/>
          <w:szCs w:val="28"/>
          <w:lang w:val="uk-UA"/>
        </w:rPr>
        <w:t>Для забезпечення досягнення цілей державної політики у сфері культури і мистецтва у 2022 – 2024 роках планується спрямувати бюджетні кошті Миколаївської міської територіальної громади в обсязі:</w:t>
      </w:r>
    </w:p>
    <w:p w:rsidR="001F61CB" w:rsidRPr="00DC7E0E" w:rsidRDefault="001F61CB" w:rsidP="001F61CB">
      <w:pPr>
        <w:ind w:firstLine="709"/>
        <w:jc w:val="both"/>
        <w:rPr>
          <w:sz w:val="28"/>
          <w:szCs w:val="28"/>
          <w:lang w:val="uk-UA"/>
        </w:rPr>
      </w:pPr>
      <w:r w:rsidRPr="00DC7E0E">
        <w:rPr>
          <w:sz w:val="28"/>
          <w:szCs w:val="28"/>
          <w:lang w:val="uk-UA"/>
        </w:rPr>
        <w:t xml:space="preserve">2022 рік </w:t>
      </w:r>
      <w:r w:rsidR="004455F2" w:rsidRPr="00DC7E0E">
        <w:rPr>
          <w:sz w:val="28"/>
          <w:szCs w:val="28"/>
          <w:lang w:val="uk-UA"/>
        </w:rPr>
        <w:t>–</w:t>
      </w:r>
      <w:r w:rsidRPr="00DC7E0E">
        <w:rPr>
          <w:sz w:val="28"/>
          <w:szCs w:val="28"/>
          <w:lang w:val="uk-UA"/>
        </w:rPr>
        <w:t xml:space="preserve"> 154 750,0 тис.</w:t>
      </w:r>
      <w:r w:rsidR="00BB37C3">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w:t>
      </w:r>
    </w:p>
    <w:p w:rsidR="001F61CB" w:rsidRPr="00DC7E0E" w:rsidRDefault="001F61CB" w:rsidP="001F61CB">
      <w:pPr>
        <w:ind w:firstLine="709"/>
        <w:jc w:val="both"/>
        <w:rPr>
          <w:sz w:val="28"/>
          <w:szCs w:val="28"/>
          <w:lang w:val="uk-UA"/>
        </w:rPr>
      </w:pPr>
      <w:r w:rsidRPr="00DC7E0E">
        <w:rPr>
          <w:sz w:val="28"/>
          <w:szCs w:val="28"/>
          <w:lang w:val="uk-UA"/>
        </w:rPr>
        <w:t xml:space="preserve">2023 рік </w:t>
      </w:r>
      <w:r w:rsidR="004455F2" w:rsidRPr="00DC7E0E">
        <w:rPr>
          <w:sz w:val="28"/>
          <w:szCs w:val="28"/>
          <w:lang w:val="uk-UA"/>
        </w:rPr>
        <w:t>–</w:t>
      </w:r>
      <w:r w:rsidRPr="00DC7E0E">
        <w:rPr>
          <w:sz w:val="28"/>
          <w:szCs w:val="28"/>
          <w:lang w:val="uk-UA"/>
        </w:rPr>
        <w:t xml:space="preserve"> 169 879,9 тис.</w:t>
      </w:r>
      <w:r w:rsidR="00BB37C3">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w:t>
      </w:r>
    </w:p>
    <w:p w:rsidR="001F61CB" w:rsidRPr="00DC7E0E" w:rsidRDefault="001F61CB" w:rsidP="001F61CB">
      <w:pPr>
        <w:ind w:firstLine="709"/>
        <w:jc w:val="both"/>
        <w:rPr>
          <w:sz w:val="28"/>
          <w:szCs w:val="28"/>
          <w:lang w:val="uk-UA"/>
        </w:rPr>
      </w:pPr>
      <w:r w:rsidRPr="00DC7E0E">
        <w:rPr>
          <w:sz w:val="28"/>
          <w:szCs w:val="28"/>
          <w:lang w:val="uk-UA"/>
        </w:rPr>
        <w:t xml:space="preserve">2024 рік </w:t>
      </w:r>
      <w:r w:rsidR="004455F2" w:rsidRPr="00DC7E0E">
        <w:rPr>
          <w:sz w:val="28"/>
          <w:szCs w:val="28"/>
          <w:lang w:val="uk-UA"/>
        </w:rPr>
        <w:t>–</w:t>
      </w:r>
      <w:r w:rsidRPr="00DC7E0E">
        <w:rPr>
          <w:sz w:val="28"/>
          <w:szCs w:val="28"/>
          <w:lang w:val="uk-UA"/>
        </w:rPr>
        <w:t xml:space="preserve"> 178 700,1 тис.</w:t>
      </w:r>
      <w:r w:rsidR="00BB37C3">
        <w:rPr>
          <w:sz w:val="28"/>
          <w:szCs w:val="28"/>
          <w:lang w:val="uk-UA"/>
        </w:rPr>
        <w:t xml:space="preserve"> </w:t>
      </w:r>
      <w:r w:rsidRPr="00DC7E0E">
        <w:rPr>
          <w:sz w:val="28"/>
          <w:szCs w:val="28"/>
          <w:lang w:val="uk-UA"/>
        </w:rPr>
        <w:t>грн.</w:t>
      </w:r>
    </w:p>
    <w:p w:rsidR="001F61CB" w:rsidRPr="00DC7E0E" w:rsidRDefault="001F61CB" w:rsidP="001F61CB">
      <w:pPr>
        <w:tabs>
          <w:tab w:val="left" w:pos="993"/>
          <w:tab w:val="left" w:pos="1134"/>
        </w:tabs>
        <w:ind w:firstLine="709"/>
        <w:jc w:val="both"/>
        <w:rPr>
          <w:sz w:val="28"/>
          <w:szCs w:val="28"/>
          <w:lang w:val="uk-UA"/>
        </w:rPr>
      </w:pPr>
      <w:r w:rsidRPr="00DC7E0E">
        <w:rPr>
          <w:sz w:val="28"/>
          <w:szCs w:val="28"/>
          <w:lang w:val="uk-UA"/>
        </w:rPr>
        <w:t>У прогнозних показниках в повному обсязі передбачені видатки на оплату праці працівників бюджетних установ та оплату енергоносіїв. А також враховані видатки, зокрема, на:</w:t>
      </w:r>
    </w:p>
    <w:p w:rsidR="001F61CB" w:rsidRPr="00DC7E0E" w:rsidRDefault="004455F2" w:rsidP="001F61CB">
      <w:pPr>
        <w:pStyle w:val="a7"/>
        <w:numPr>
          <w:ilvl w:val="0"/>
          <w:numId w:val="1"/>
        </w:numPr>
        <w:tabs>
          <w:tab w:val="left" w:pos="993"/>
          <w:tab w:val="left" w:pos="1134"/>
        </w:tabs>
        <w:ind w:left="0" w:firstLine="709"/>
        <w:jc w:val="both"/>
        <w:rPr>
          <w:sz w:val="28"/>
          <w:szCs w:val="28"/>
          <w:lang w:val="uk-UA"/>
        </w:rPr>
      </w:pPr>
      <w:r w:rsidRPr="00DC7E0E">
        <w:rPr>
          <w:sz w:val="28"/>
          <w:szCs w:val="28"/>
          <w:lang w:val="uk-UA"/>
        </w:rPr>
        <w:t>о</w:t>
      </w:r>
      <w:r w:rsidR="001F61CB" w:rsidRPr="00DC7E0E">
        <w:rPr>
          <w:sz w:val="28"/>
          <w:szCs w:val="28"/>
          <w:lang w:val="uk-UA"/>
        </w:rPr>
        <w:t>рганізацію культурного дозвілля населення міста;</w:t>
      </w:r>
    </w:p>
    <w:p w:rsidR="001F61CB" w:rsidRPr="00DC7E0E" w:rsidRDefault="001F61CB" w:rsidP="001F61CB">
      <w:pPr>
        <w:pStyle w:val="a7"/>
        <w:numPr>
          <w:ilvl w:val="0"/>
          <w:numId w:val="1"/>
        </w:numPr>
        <w:tabs>
          <w:tab w:val="left" w:pos="993"/>
          <w:tab w:val="left" w:pos="1134"/>
        </w:tabs>
        <w:ind w:left="0" w:firstLine="709"/>
        <w:jc w:val="both"/>
        <w:rPr>
          <w:sz w:val="28"/>
          <w:szCs w:val="28"/>
          <w:lang w:val="uk-UA"/>
        </w:rPr>
      </w:pPr>
      <w:r w:rsidRPr="00DC7E0E">
        <w:rPr>
          <w:sz w:val="28"/>
          <w:szCs w:val="28"/>
          <w:lang w:val="uk-UA"/>
        </w:rPr>
        <w:t xml:space="preserve">на забезпечення прав громадян на бібліотечне обслуговування, загальну доступність до інформації та культурних цінностей; </w:t>
      </w:r>
    </w:p>
    <w:p w:rsidR="001F61CB" w:rsidRPr="00DC7E0E" w:rsidRDefault="001F61CB" w:rsidP="001F61CB">
      <w:pPr>
        <w:pStyle w:val="a7"/>
        <w:numPr>
          <w:ilvl w:val="0"/>
          <w:numId w:val="1"/>
        </w:numPr>
        <w:tabs>
          <w:tab w:val="left" w:pos="993"/>
          <w:tab w:val="left" w:pos="1134"/>
        </w:tabs>
        <w:ind w:left="0" w:firstLine="709"/>
        <w:jc w:val="both"/>
        <w:rPr>
          <w:sz w:val="28"/>
          <w:szCs w:val="28"/>
          <w:lang w:val="uk-UA"/>
        </w:rPr>
      </w:pPr>
      <w:r w:rsidRPr="00DC7E0E">
        <w:rPr>
          <w:sz w:val="28"/>
          <w:szCs w:val="28"/>
          <w:lang w:val="uk-UA"/>
        </w:rPr>
        <w:t>утримання комунальної установи Миколаївський зоопарк;</w:t>
      </w:r>
    </w:p>
    <w:p w:rsidR="001F61CB" w:rsidRPr="00DC7E0E" w:rsidRDefault="001F61CB" w:rsidP="001F61CB">
      <w:pPr>
        <w:pStyle w:val="a7"/>
        <w:numPr>
          <w:ilvl w:val="0"/>
          <w:numId w:val="1"/>
        </w:numPr>
        <w:tabs>
          <w:tab w:val="left" w:pos="993"/>
          <w:tab w:val="left" w:pos="1134"/>
        </w:tabs>
        <w:ind w:left="0" w:firstLine="709"/>
        <w:jc w:val="both"/>
        <w:rPr>
          <w:sz w:val="28"/>
          <w:szCs w:val="28"/>
          <w:lang w:val="uk-UA"/>
        </w:rPr>
      </w:pPr>
      <w:r w:rsidRPr="00DC7E0E">
        <w:rPr>
          <w:sz w:val="28"/>
          <w:szCs w:val="28"/>
          <w:lang w:val="uk-UA"/>
        </w:rPr>
        <w:t>проведення культурних заходів, сприяння умов для розвитку культури, національно-культурних традицій;</w:t>
      </w:r>
    </w:p>
    <w:p w:rsidR="001F61CB" w:rsidRPr="00DC7E0E" w:rsidRDefault="001F61CB" w:rsidP="001F61CB">
      <w:pPr>
        <w:pStyle w:val="a7"/>
        <w:numPr>
          <w:ilvl w:val="0"/>
          <w:numId w:val="1"/>
        </w:numPr>
        <w:tabs>
          <w:tab w:val="left" w:pos="993"/>
          <w:tab w:val="left" w:pos="1134"/>
        </w:tabs>
        <w:ind w:left="0" w:firstLine="709"/>
        <w:jc w:val="both"/>
        <w:rPr>
          <w:sz w:val="28"/>
          <w:szCs w:val="28"/>
          <w:lang w:val="uk-UA"/>
        </w:rPr>
      </w:pPr>
      <w:r w:rsidRPr="00DC7E0E">
        <w:rPr>
          <w:sz w:val="28"/>
          <w:szCs w:val="28"/>
          <w:lang w:val="uk-UA"/>
        </w:rPr>
        <w:lastRenderedPageBreak/>
        <w:t xml:space="preserve">проведення заходів  направлених на збереження і охорону культурної спадщини міста Миколаєва, встановлення меморіальних </w:t>
      </w:r>
      <w:proofErr w:type="spellStart"/>
      <w:r w:rsidRPr="00DC7E0E">
        <w:rPr>
          <w:sz w:val="28"/>
          <w:szCs w:val="28"/>
          <w:lang w:val="uk-UA"/>
        </w:rPr>
        <w:t>дошок</w:t>
      </w:r>
      <w:proofErr w:type="spellEnd"/>
      <w:r w:rsidRPr="00DC7E0E">
        <w:rPr>
          <w:sz w:val="28"/>
          <w:szCs w:val="28"/>
          <w:lang w:val="uk-UA"/>
        </w:rPr>
        <w:t xml:space="preserve"> видатним особистостям міста.</w:t>
      </w:r>
    </w:p>
    <w:p w:rsidR="006327B8" w:rsidRPr="00DC7E0E" w:rsidRDefault="006327B8" w:rsidP="00F96494">
      <w:pPr>
        <w:tabs>
          <w:tab w:val="left" w:pos="993"/>
          <w:tab w:val="left" w:pos="1134"/>
        </w:tabs>
        <w:ind w:firstLine="709"/>
        <w:jc w:val="both"/>
        <w:rPr>
          <w:sz w:val="28"/>
          <w:szCs w:val="28"/>
          <w:highlight w:val="yellow"/>
          <w:lang w:val="uk-UA"/>
        </w:rPr>
      </w:pPr>
    </w:p>
    <w:p w:rsidR="006327B8" w:rsidRPr="00DC7E0E" w:rsidRDefault="006327B8" w:rsidP="00F96494">
      <w:pPr>
        <w:tabs>
          <w:tab w:val="left" w:pos="993"/>
          <w:tab w:val="left" w:pos="1134"/>
        </w:tabs>
        <w:ind w:firstLine="709"/>
        <w:rPr>
          <w:b/>
          <w:bCs/>
          <w:i/>
          <w:iCs/>
          <w:sz w:val="28"/>
          <w:szCs w:val="28"/>
          <w:lang w:val="uk-UA"/>
        </w:rPr>
      </w:pPr>
      <w:r w:rsidRPr="00DC7E0E">
        <w:rPr>
          <w:b/>
          <w:bCs/>
          <w:i/>
          <w:iCs/>
          <w:sz w:val="28"/>
          <w:szCs w:val="28"/>
          <w:lang w:val="uk-UA"/>
        </w:rPr>
        <w:t>Фізична культура і спорт</w:t>
      </w:r>
    </w:p>
    <w:p w:rsidR="001F61CB" w:rsidRPr="00DC7E0E" w:rsidRDefault="001F61CB" w:rsidP="001F61CB">
      <w:pPr>
        <w:tabs>
          <w:tab w:val="left" w:pos="993"/>
          <w:tab w:val="left" w:pos="1134"/>
        </w:tabs>
        <w:ind w:firstLine="567"/>
        <w:jc w:val="both"/>
        <w:rPr>
          <w:sz w:val="28"/>
          <w:szCs w:val="28"/>
          <w:lang w:val="uk-UA"/>
        </w:rPr>
      </w:pPr>
      <w:r w:rsidRPr="00DC7E0E">
        <w:rPr>
          <w:sz w:val="28"/>
          <w:szCs w:val="28"/>
          <w:lang w:val="uk-UA"/>
        </w:rPr>
        <w:t>Для забезпечення досягнення цілей державної політики у сфері фізичної культури і спорту у 2022 – 2024 роках Миколаївської міської територіальної громади планується спрямувати бюджетні кошті в обсязі:</w:t>
      </w:r>
    </w:p>
    <w:p w:rsidR="001F61CB" w:rsidRPr="00DC7E0E" w:rsidRDefault="001F61CB" w:rsidP="001F61CB">
      <w:pPr>
        <w:tabs>
          <w:tab w:val="left" w:pos="993"/>
          <w:tab w:val="left" w:pos="1134"/>
        </w:tabs>
        <w:ind w:firstLine="567"/>
        <w:jc w:val="both"/>
        <w:rPr>
          <w:sz w:val="28"/>
          <w:szCs w:val="28"/>
          <w:lang w:val="uk-UA"/>
        </w:rPr>
      </w:pPr>
      <w:r w:rsidRPr="00DC7E0E">
        <w:rPr>
          <w:sz w:val="28"/>
          <w:szCs w:val="28"/>
          <w:lang w:val="uk-UA"/>
        </w:rPr>
        <w:t>2022 рік</w:t>
      </w:r>
      <w:r w:rsidR="004455F2" w:rsidRPr="00DC7E0E">
        <w:rPr>
          <w:sz w:val="28"/>
          <w:szCs w:val="28"/>
          <w:lang w:val="uk-UA"/>
        </w:rPr>
        <w:t xml:space="preserve"> –</w:t>
      </w:r>
      <w:r w:rsidRPr="00DC7E0E">
        <w:rPr>
          <w:sz w:val="28"/>
          <w:szCs w:val="28"/>
          <w:lang w:val="uk-UA"/>
        </w:rPr>
        <w:t xml:space="preserve"> 184706,7 тис.</w:t>
      </w:r>
      <w:r w:rsidR="005650C0">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w:t>
      </w:r>
    </w:p>
    <w:p w:rsidR="001F61CB" w:rsidRPr="00DC7E0E" w:rsidRDefault="001F61CB" w:rsidP="001F61CB">
      <w:pPr>
        <w:tabs>
          <w:tab w:val="left" w:pos="993"/>
          <w:tab w:val="left" w:pos="1134"/>
        </w:tabs>
        <w:ind w:firstLine="567"/>
        <w:jc w:val="both"/>
        <w:rPr>
          <w:sz w:val="28"/>
          <w:szCs w:val="28"/>
          <w:lang w:val="uk-UA"/>
        </w:rPr>
      </w:pPr>
      <w:r w:rsidRPr="00DC7E0E">
        <w:rPr>
          <w:sz w:val="28"/>
          <w:szCs w:val="28"/>
          <w:lang w:val="uk-UA"/>
        </w:rPr>
        <w:t>2023 рік</w:t>
      </w:r>
      <w:r w:rsidR="004455F2" w:rsidRPr="00DC7E0E">
        <w:rPr>
          <w:sz w:val="28"/>
          <w:szCs w:val="28"/>
          <w:lang w:val="uk-UA"/>
        </w:rPr>
        <w:t xml:space="preserve"> –</w:t>
      </w:r>
      <w:r w:rsidRPr="00DC7E0E">
        <w:rPr>
          <w:sz w:val="28"/>
          <w:szCs w:val="28"/>
          <w:lang w:val="uk-UA"/>
        </w:rPr>
        <w:t xml:space="preserve"> 198 140,3 тис.</w:t>
      </w:r>
      <w:r w:rsidR="005650C0">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w:t>
      </w:r>
    </w:p>
    <w:p w:rsidR="001F61CB" w:rsidRPr="00DC7E0E" w:rsidRDefault="001F61CB" w:rsidP="001F61CB">
      <w:pPr>
        <w:tabs>
          <w:tab w:val="left" w:pos="993"/>
          <w:tab w:val="left" w:pos="1134"/>
        </w:tabs>
        <w:ind w:firstLine="567"/>
        <w:jc w:val="both"/>
        <w:rPr>
          <w:sz w:val="28"/>
          <w:szCs w:val="28"/>
          <w:lang w:val="uk-UA"/>
        </w:rPr>
      </w:pPr>
      <w:r w:rsidRPr="00DC7E0E">
        <w:rPr>
          <w:sz w:val="28"/>
          <w:szCs w:val="28"/>
          <w:lang w:val="uk-UA"/>
        </w:rPr>
        <w:t>2024 рік</w:t>
      </w:r>
      <w:r w:rsidR="004455F2" w:rsidRPr="00DC7E0E">
        <w:rPr>
          <w:sz w:val="28"/>
          <w:szCs w:val="28"/>
          <w:lang w:val="uk-UA"/>
        </w:rPr>
        <w:t xml:space="preserve"> –</w:t>
      </w:r>
      <w:r w:rsidRPr="00DC7E0E">
        <w:rPr>
          <w:sz w:val="28"/>
          <w:szCs w:val="28"/>
          <w:lang w:val="uk-UA"/>
        </w:rPr>
        <w:t xml:space="preserve"> 210 755,6 тис.</w:t>
      </w:r>
      <w:r w:rsidR="005650C0">
        <w:rPr>
          <w:sz w:val="28"/>
          <w:szCs w:val="28"/>
          <w:lang w:val="uk-UA"/>
        </w:rPr>
        <w:t xml:space="preserve"> </w:t>
      </w:r>
      <w:r w:rsidRPr="00DC7E0E">
        <w:rPr>
          <w:sz w:val="28"/>
          <w:szCs w:val="28"/>
          <w:lang w:val="uk-UA"/>
        </w:rPr>
        <w:t>грн.</w:t>
      </w:r>
    </w:p>
    <w:p w:rsidR="001F61CB" w:rsidRPr="00DC7E0E" w:rsidRDefault="001F61CB" w:rsidP="001F61CB">
      <w:pPr>
        <w:tabs>
          <w:tab w:val="left" w:pos="993"/>
          <w:tab w:val="left" w:pos="1134"/>
        </w:tabs>
        <w:ind w:firstLine="567"/>
        <w:jc w:val="both"/>
        <w:rPr>
          <w:sz w:val="28"/>
          <w:szCs w:val="28"/>
          <w:lang w:val="uk-UA"/>
        </w:rPr>
      </w:pPr>
      <w:r w:rsidRPr="00DC7E0E">
        <w:rPr>
          <w:sz w:val="28"/>
          <w:szCs w:val="28"/>
          <w:lang w:val="uk-UA"/>
        </w:rPr>
        <w:t>У прогнозних показниках в повному обсязі передбачені видатки на оплату праці працівників бюджетних установ та оплату енергоносіїв. А також враховані видатки, зокрема, на:</w:t>
      </w:r>
    </w:p>
    <w:p w:rsidR="001F61CB" w:rsidRPr="00DC7E0E" w:rsidRDefault="001F61CB" w:rsidP="001F61CB">
      <w:pPr>
        <w:pStyle w:val="a7"/>
        <w:numPr>
          <w:ilvl w:val="0"/>
          <w:numId w:val="1"/>
        </w:numPr>
        <w:tabs>
          <w:tab w:val="left" w:pos="993"/>
          <w:tab w:val="left" w:pos="1134"/>
        </w:tabs>
        <w:ind w:left="0" w:firstLine="567"/>
        <w:jc w:val="both"/>
        <w:rPr>
          <w:bCs/>
          <w:iCs/>
          <w:sz w:val="28"/>
          <w:szCs w:val="28"/>
          <w:lang w:val="uk-UA"/>
        </w:rPr>
      </w:pPr>
      <w:r w:rsidRPr="00DC7E0E">
        <w:rPr>
          <w:bCs/>
          <w:iCs/>
          <w:sz w:val="28"/>
          <w:szCs w:val="28"/>
          <w:lang w:val="uk-UA"/>
        </w:rPr>
        <w:t xml:space="preserve">проведення навчально-тренувальних зборів і змагань з олімпійських та </w:t>
      </w:r>
      <w:proofErr w:type="spellStart"/>
      <w:r w:rsidRPr="00DC7E0E">
        <w:rPr>
          <w:bCs/>
          <w:iCs/>
          <w:sz w:val="28"/>
          <w:szCs w:val="28"/>
          <w:lang w:val="uk-UA"/>
        </w:rPr>
        <w:t>неолімпійських</w:t>
      </w:r>
      <w:proofErr w:type="spellEnd"/>
      <w:r w:rsidRPr="00DC7E0E">
        <w:rPr>
          <w:bCs/>
          <w:iCs/>
          <w:sz w:val="28"/>
          <w:szCs w:val="28"/>
          <w:lang w:val="uk-UA"/>
        </w:rPr>
        <w:t xml:space="preserve"> видів спорту;</w:t>
      </w:r>
    </w:p>
    <w:p w:rsidR="001F61CB" w:rsidRPr="00DC7E0E" w:rsidRDefault="001F61CB" w:rsidP="001F61CB">
      <w:pPr>
        <w:pStyle w:val="a7"/>
        <w:numPr>
          <w:ilvl w:val="0"/>
          <w:numId w:val="1"/>
        </w:numPr>
        <w:tabs>
          <w:tab w:val="left" w:pos="993"/>
          <w:tab w:val="left" w:pos="1134"/>
        </w:tabs>
        <w:ind w:left="0" w:firstLine="567"/>
        <w:jc w:val="both"/>
        <w:rPr>
          <w:bCs/>
          <w:iCs/>
          <w:sz w:val="28"/>
          <w:szCs w:val="28"/>
          <w:lang w:val="uk-UA"/>
        </w:rPr>
      </w:pPr>
      <w:r w:rsidRPr="00DC7E0E">
        <w:rPr>
          <w:bCs/>
          <w:iCs/>
          <w:sz w:val="28"/>
          <w:szCs w:val="28"/>
          <w:lang w:val="uk-UA"/>
        </w:rPr>
        <w:t>утримання та навчально-тренувальну роботу комунальних дитячо-юнацьких спортивних шкіл;</w:t>
      </w:r>
    </w:p>
    <w:p w:rsidR="001F61CB" w:rsidRPr="00DC7E0E" w:rsidRDefault="001F61CB" w:rsidP="001F61CB">
      <w:pPr>
        <w:pStyle w:val="a7"/>
        <w:numPr>
          <w:ilvl w:val="0"/>
          <w:numId w:val="1"/>
        </w:numPr>
        <w:tabs>
          <w:tab w:val="left" w:pos="993"/>
          <w:tab w:val="left" w:pos="1134"/>
        </w:tabs>
        <w:ind w:left="0" w:firstLine="567"/>
        <w:jc w:val="both"/>
        <w:rPr>
          <w:bCs/>
          <w:iCs/>
          <w:sz w:val="28"/>
          <w:szCs w:val="28"/>
          <w:lang w:val="uk-UA"/>
        </w:rPr>
      </w:pPr>
      <w:r w:rsidRPr="00DC7E0E">
        <w:rPr>
          <w:bCs/>
          <w:iCs/>
          <w:sz w:val="28"/>
          <w:szCs w:val="28"/>
          <w:lang w:val="uk-UA"/>
        </w:rPr>
        <w:t>фінансову підтримку дитячо-юнацьких спортивних шкіл фізкультурно-спортивних товариств;</w:t>
      </w:r>
    </w:p>
    <w:p w:rsidR="001F61CB" w:rsidRPr="00DC7E0E" w:rsidRDefault="001F61CB" w:rsidP="001F61CB">
      <w:pPr>
        <w:pStyle w:val="a7"/>
        <w:numPr>
          <w:ilvl w:val="0"/>
          <w:numId w:val="1"/>
        </w:numPr>
        <w:tabs>
          <w:tab w:val="left" w:pos="993"/>
          <w:tab w:val="left" w:pos="1134"/>
        </w:tabs>
        <w:ind w:left="0" w:firstLine="567"/>
        <w:jc w:val="both"/>
        <w:rPr>
          <w:bCs/>
          <w:iCs/>
          <w:sz w:val="28"/>
          <w:szCs w:val="28"/>
          <w:lang w:val="uk-UA"/>
        </w:rPr>
      </w:pPr>
      <w:r w:rsidRPr="00DC7E0E">
        <w:rPr>
          <w:bCs/>
          <w:iCs/>
          <w:sz w:val="28"/>
          <w:szCs w:val="28"/>
          <w:lang w:val="uk-UA"/>
        </w:rPr>
        <w:t>забезпечення підготовки спортсменів школами вищої спортивної майстерності;</w:t>
      </w:r>
    </w:p>
    <w:p w:rsidR="001F61CB" w:rsidRPr="00DC7E0E" w:rsidRDefault="001F61CB" w:rsidP="001F61CB">
      <w:pPr>
        <w:pStyle w:val="a7"/>
        <w:numPr>
          <w:ilvl w:val="0"/>
          <w:numId w:val="1"/>
        </w:numPr>
        <w:tabs>
          <w:tab w:val="left" w:pos="993"/>
          <w:tab w:val="left" w:pos="1134"/>
        </w:tabs>
        <w:ind w:left="0" w:firstLine="567"/>
        <w:jc w:val="both"/>
        <w:rPr>
          <w:bCs/>
          <w:iCs/>
          <w:sz w:val="28"/>
          <w:szCs w:val="28"/>
          <w:lang w:val="uk-UA"/>
        </w:rPr>
      </w:pPr>
      <w:r w:rsidRPr="00DC7E0E">
        <w:rPr>
          <w:bCs/>
          <w:iCs/>
          <w:sz w:val="28"/>
          <w:szCs w:val="28"/>
          <w:lang w:val="uk-UA"/>
        </w:rPr>
        <w:t>утримання та фінансову підтримку комунальних спортивних споруд;</w:t>
      </w:r>
    </w:p>
    <w:p w:rsidR="001F61CB" w:rsidRPr="00DC7E0E" w:rsidRDefault="001F61CB" w:rsidP="001F61CB">
      <w:pPr>
        <w:pStyle w:val="a7"/>
        <w:numPr>
          <w:ilvl w:val="0"/>
          <w:numId w:val="1"/>
        </w:numPr>
        <w:tabs>
          <w:tab w:val="left" w:pos="993"/>
          <w:tab w:val="left" w:pos="1134"/>
        </w:tabs>
        <w:ind w:left="0" w:firstLine="567"/>
        <w:jc w:val="both"/>
        <w:rPr>
          <w:bCs/>
          <w:iCs/>
          <w:sz w:val="28"/>
          <w:szCs w:val="28"/>
          <w:lang w:val="uk-UA"/>
        </w:rPr>
      </w:pPr>
      <w:r w:rsidRPr="00DC7E0E">
        <w:rPr>
          <w:bCs/>
          <w:iCs/>
          <w:sz w:val="28"/>
          <w:szCs w:val="28"/>
          <w:lang w:val="uk-UA"/>
        </w:rPr>
        <w:t>підтримку спорту вищих досягнень та організацій, які здійснюють фізкультурно-спортивну діяльність в регіоні;</w:t>
      </w:r>
    </w:p>
    <w:p w:rsidR="001F61CB" w:rsidRPr="00DC7E0E" w:rsidRDefault="001F61CB" w:rsidP="001F61CB">
      <w:pPr>
        <w:pStyle w:val="a7"/>
        <w:numPr>
          <w:ilvl w:val="0"/>
          <w:numId w:val="1"/>
        </w:numPr>
        <w:tabs>
          <w:tab w:val="left" w:pos="993"/>
          <w:tab w:val="left" w:pos="1134"/>
        </w:tabs>
        <w:ind w:left="0" w:firstLine="567"/>
        <w:jc w:val="both"/>
        <w:rPr>
          <w:bCs/>
          <w:iCs/>
          <w:sz w:val="28"/>
          <w:szCs w:val="28"/>
          <w:lang w:val="uk-UA"/>
        </w:rPr>
      </w:pPr>
      <w:r w:rsidRPr="00DC7E0E">
        <w:rPr>
          <w:bCs/>
          <w:iCs/>
          <w:sz w:val="28"/>
          <w:szCs w:val="28"/>
          <w:lang w:val="uk-UA"/>
        </w:rPr>
        <w:t>забезпечення діяльності централізованої бухгалтерії.</w:t>
      </w:r>
    </w:p>
    <w:p w:rsidR="00D7622F" w:rsidRPr="00DC7E0E" w:rsidRDefault="00D7622F" w:rsidP="00F96494">
      <w:pPr>
        <w:tabs>
          <w:tab w:val="left" w:pos="993"/>
          <w:tab w:val="left" w:pos="1134"/>
        </w:tabs>
        <w:ind w:firstLine="709"/>
        <w:jc w:val="both"/>
        <w:rPr>
          <w:sz w:val="28"/>
          <w:szCs w:val="28"/>
          <w:highlight w:val="magenta"/>
          <w:lang w:val="uk-UA"/>
        </w:rPr>
      </w:pPr>
    </w:p>
    <w:p w:rsidR="007B7942" w:rsidRPr="00DC7E0E" w:rsidRDefault="007B7942" w:rsidP="00F96494">
      <w:pPr>
        <w:tabs>
          <w:tab w:val="left" w:pos="993"/>
        </w:tabs>
        <w:ind w:firstLine="708"/>
        <w:rPr>
          <w:b/>
          <w:i/>
          <w:iCs/>
          <w:sz w:val="28"/>
          <w:szCs w:val="28"/>
          <w:lang w:val="uk-UA"/>
        </w:rPr>
      </w:pPr>
      <w:r w:rsidRPr="00DC7E0E">
        <w:rPr>
          <w:b/>
          <w:i/>
          <w:iCs/>
          <w:sz w:val="28"/>
          <w:szCs w:val="28"/>
          <w:lang w:val="uk-UA"/>
        </w:rPr>
        <w:t>Житлово-комунальне господарство</w:t>
      </w:r>
    </w:p>
    <w:p w:rsidR="009245CA" w:rsidRPr="00DC7E0E" w:rsidRDefault="009245CA" w:rsidP="009245CA">
      <w:pPr>
        <w:pStyle w:val="rvps122"/>
        <w:tabs>
          <w:tab w:val="left" w:pos="851"/>
        </w:tabs>
        <w:spacing w:before="0" w:beforeAutospacing="0" w:after="0" w:afterAutospacing="0"/>
        <w:ind w:firstLine="567"/>
        <w:jc w:val="both"/>
        <w:rPr>
          <w:sz w:val="28"/>
          <w:szCs w:val="28"/>
          <w:lang w:val="uk-UA"/>
        </w:rPr>
      </w:pPr>
      <w:r w:rsidRPr="00DC7E0E">
        <w:rPr>
          <w:sz w:val="28"/>
          <w:szCs w:val="28"/>
          <w:lang w:val="uk-UA"/>
        </w:rPr>
        <w:t>Видатки на житлово-комунальне господарство на 2022</w:t>
      </w:r>
      <w:r w:rsidR="005F62B5" w:rsidRPr="00DC7E0E">
        <w:rPr>
          <w:sz w:val="28"/>
          <w:szCs w:val="28"/>
          <w:lang w:val="uk-UA"/>
        </w:rPr>
        <w:t>-</w:t>
      </w:r>
      <w:r w:rsidRPr="00DC7E0E">
        <w:rPr>
          <w:sz w:val="28"/>
          <w:szCs w:val="28"/>
          <w:lang w:val="uk-UA"/>
        </w:rPr>
        <w:t>2024 роки розраховано виходячи з необхідності забезпечення р</w:t>
      </w:r>
      <w:r w:rsidRPr="00DC7E0E">
        <w:rPr>
          <w:rFonts w:eastAsia="Calibri"/>
          <w:sz w:val="28"/>
          <w:szCs w:val="28"/>
          <w:lang w:val="uk-UA" w:eastAsia="uk-UA"/>
        </w:rPr>
        <w:t>еалізації цілей державної політики та власних повноважень органів місцевого самоврядування та визначених заходами міських програм у сфері утримання та розвитку об’єктів житлово-комунального господарства,  благоустрою,  забезпечення ефективного функціонування та розвитку вулично-дорожньої мережі.</w:t>
      </w:r>
      <w:r w:rsidRPr="00DC7E0E">
        <w:rPr>
          <w:sz w:val="28"/>
          <w:szCs w:val="28"/>
          <w:lang w:val="uk-UA"/>
        </w:rPr>
        <w:t xml:space="preserve"> Для цього, кошти в обсягах, визначених  головними розпорядниками бюджетних коштів, а саме : 2022 рік – 537962,7 тис. </w:t>
      </w:r>
      <w:proofErr w:type="spellStart"/>
      <w:r w:rsidRPr="00DC7E0E">
        <w:rPr>
          <w:sz w:val="28"/>
          <w:szCs w:val="28"/>
          <w:lang w:val="uk-UA"/>
        </w:rPr>
        <w:t>грн</w:t>
      </w:r>
      <w:proofErr w:type="spellEnd"/>
      <w:r w:rsidRPr="00DC7E0E">
        <w:rPr>
          <w:sz w:val="28"/>
          <w:szCs w:val="28"/>
          <w:lang w:val="uk-UA"/>
        </w:rPr>
        <w:t xml:space="preserve">, 2023 рік – 568922,0 тис. </w:t>
      </w:r>
      <w:proofErr w:type="spellStart"/>
      <w:r w:rsidRPr="00DC7E0E">
        <w:rPr>
          <w:sz w:val="28"/>
          <w:szCs w:val="28"/>
          <w:lang w:val="uk-UA"/>
        </w:rPr>
        <w:t>грн</w:t>
      </w:r>
      <w:proofErr w:type="spellEnd"/>
      <w:r w:rsidRPr="00DC7E0E">
        <w:rPr>
          <w:sz w:val="28"/>
          <w:szCs w:val="28"/>
          <w:lang w:val="uk-UA"/>
        </w:rPr>
        <w:t xml:space="preserve">, 2024 рік – 599670,4 тис. </w:t>
      </w:r>
      <w:proofErr w:type="spellStart"/>
      <w:r w:rsidRPr="00DC7E0E">
        <w:rPr>
          <w:sz w:val="28"/>
          <w:szCs w:val="28"/>
          <w:lang w:val="uk-UA"/>
        </w:rPr>
        <w:t>грн</w:t>
      </w:r>
      <w:proofErr w:type="spellEnd"/>
      <w:r w:rsidRPr="00DC7E0E">
        <w:rPr>
          <w:sz w:val="28"/>
          <w:szCs w:val="28"/>
          <w:lang w:val="uk-UA"/>
        </w:rPr>
        <w:t xml:space="preserve"> спрямовуються на забезпечення:</w:t>
      </w:r>
    </w:p>
    <w:p w:rsidR="009245CA" w:rsidRPr="00DC7E0E" w:rsidRDefault="009245CA" w:rsidP="005F62B5">
      <w:pPr>
        <w:pStyle w:val="rvps122"/>
        <w:numPr>
          <w:ilvl w:val="0"/>
          <w:numId w:val="19"/>
        </w:numPr>
        <w:tabs>
          <w:tab w:val="left" w:pos="0"/>
          <w:tab w:val="left" w:pos="851"/>
        </w:tabs>
        <w:spacing w:before="0" w:beforeAutospacing="0" w:after="0" w:afterAutospacing="0"/>
        <w:ind w:left="0" w:firstLine="567"/>
        <w:jc w:val="both"/>
        <w:rPr>
          <w:sz w:val="28"/>
          <w:szCs w:val="28"/>
          <w:lang w:val="uk-UA"/>
        </w:rPr>
      </w:pPr>
      <w:r w:rsidRPr="00DC7E0E">
        <w:rPr>
          <w:sz w:val="28"/>
          <w:szCs w:val="28"/>
          <w:lang w:val="uk-UA"/>
        </w:rPr>
        <w:t>експлуатації, технічного обслуговування та ремонту житлового фонду, підвищення ефективності та надійності його функціонування;</w:t>
      </w:r>
    </w:p>
    <w:p w:rsidR="009245CA" w:rsidRPr="00DC7E0E" w:rsidRDefault="009245CA" w:rsidP="005F62B5">
      <w:pPr>
        <w:pStyle w:val="a7"/>
        <w:numPr>
          <w:ilvl w:val="0"/>
          <w:numId w:val="19"/>
        </w:numPr>
        <w:tabs>
          <w:tab w:val="left" w:pos="0"/>
          <w:tab w:val="left" w:pos="851"/>
        </w:tabs>
        <w:autoSpaceDE w:val="0"/>
        <w:autoSpaceDN w:val="0"/>
        <w:adjustRightInd w:val="0"/>
        <w:ind w:left="0" w:firstLine="567"/>
        <w:rPr>
          <w:sz w:val="28"/>
          <w:szCs w:val="28"/>
          <w:lang w:val="uk-UA"/>
        </w:rPr>
      </w:pPr>
      <w:r w:rsidRPr="00DC7E0E">
        <w:rPr>
          <w:sz w:val="28"/>
          <w:szCs w:val="28"/>
          <w:lang w:val="uk-UA"/>
        </w:rPr>
        <w:t xml:space="preserve">утримання та ремонту об’єктів благоустрою міста, дорожньої інфраструктури, автомобільних доріг та мостів, </w:t>
      </w:r>
      <w:r w:rsidRPr="00DC7E0E">
        <w:rPr>
          <w:rFonts w:eastAsia="Calibri"/>
          <w:sz w:val="28"/>
          <w:szCs w:val="28"/>
          <w:lang w:val="uk-UA" w:eastAsia="uk-UA"/>
        </w:rPr>
        <w:t>відновлення та створення нових зелених зон культурно-масового відпочинку для мешканців міста</w:t>
      </w:r>
      <w:r w:rsidRPr="00DC7E0E">
        <w:rPr>
          <w:sz w:val="28"/>
          <w:szCs w:val="28"/>
          <w:lang w:val="uk-UA"/>
        </w:rPr>
        <w:t xml:space="preserve">;     </w:t>
      </w:r>
    </w:p>
    <w:p w:rsidR="009245CA" w:rsidRPr="00DC7E0E" w:rsidRDefault="009245CA" w:rsidP="005F62B5">
      <w:pPr>
        <w:pStyle w:val="rvps122"/>
        <w:numPr>
          <w:ilvl w:val="0"/>
          <w:numId w:val="19"/>
        </w:numPr>
        <w:tabs>
          <w:tab w:val="left" w:pos="0"/>
          <w:tab w:val="left" w:pos="851"/>
        </w:tabs>
        <w:spacing w:before="0" w:beforeAutospacing="0" w:after="0" w:afterAutospacing="0"/>
        <w:ind w:left="0" w:firstLine="567"/>
        <w:jc w:val="both"/>
        <w:rPr>
          <w:sz w:val="28"/>
          <w:szCs w:val="28"/>
          <w:lang w:val="uk-UA"/>
        </w:rPr>
      </w:pPr>
      <w:r w:rsidRPr="00DC7E0E">
        <w:rPr>
          <w:sz w:val="28"/>
          <w:szCs w:val="28"/>
          <w:lang w:val="uk-UA"/>
        </w:rPr>
        <w:lastRenderedPageBreak/>
        <w:t xml:space="preserve"> стабільної роботи підприємств житлово-комунального господарства, надання послуг належного рівня та якості в житлово-комунальному господарстві;   </w:t>
      </w:r>
    </w:p>
    <w:p w:rsidR="009245CA" w:rsidRPr="00DC7E0E" w:rsidRDefault="009245CA" w:rsidP="005F62B5">
      <w:pPr>
        <w:pStyle w:val="rvps122"/>
        <w:numPr>
          <w:ilvl w:val="0"/>
          <w:numId w:val="19"/>
        </w:numPr>
        <w:tabs>
          <w:tab w:val="left" w:pos="0"/>
          <w:tab w:val="left" w:pos="851"/>
        </w:tabs>
        <w:spacing w:before="0" w:beforeAutospacing="0" w:after="0" w:afterAutospacing="0"/>
        <w:ind w:left="0" w:firstLine="567"/>
        <w:jc w:val="both"/>
        <w:rPr>
          <w:sz w:val="28"/>
          <w:szCs w:val="28"/>
          <w:lang w:val="uk-UA"/>
        </w:rPr>
      </w:pPr>
      <w:r w:rsidRPr="00DC7E0E">
        <w:rPr>
          <w:sz w:val="28"/>
          <w:szCs w:val="28"/>
          <w:lang w:val="uk-UA"/>
        </w:rPr>
        <w:t xml:space="preserve">поліпшення технічного стану житлового фонду, ліфтового господарства, водопровідно-каналізаційного господарства; </w:t>
      </w:r>
    </w:p>
    <w:p w:rsidR="009245CA" w:rsidRPr="00DC7E0E" w:rsidRDefault="009245CA" w:rsidP="005F62B5">
      <w:pPr>
        <w:pStyle w:val="rvps122"/>
        <w:numPr>
          <w:ilvl w:val="0"/>
          <w:numId w:val="19"/>
        </w:numPr>
        <w:tabs>
          <w:tab w:val="left" w:pos="0"/>
          <w:tab w:val="left" w:pos="851"/>
        </w:tabs>
        <w:spacing w:before="0" w:beforeAutospacing="0" w:after="0" w:afterAutospacing="0"/>
        <w:ind w:left="0" w:firstLine="567"/>
        <w:jc w:val="both"/>
        <w:rPr>
          <w:sz w:val="28"/>
          <w:szCs w:val="28"/>
          <w:lang w:val="uk-UA"/>
        </w:rPr>
      </w:pPr>
      <w:r w:rsidRPr="00DC7E0E">
        <w:rPr>
          <w:sz w:val="28"/>
          <w:szCs w:val="28"/>
          <w:lang w:val="uk-UA"/>
        </w:rPr>
        <w:t>продовження робіт з реконструкції та встановлення нових ліній зовнішнього освітлення із застосуванням новітніх технологій та елементів енергозбереження;</w:t>
      </w:r>
    </w:p>
    <w:p w:rsidR="009245CA" w:rsidRPr="00DC7E0E" w:rsidRDefault="009245CA" w:rsidP="005F62B5">
      <w:pPr>
        <w:pStyle w:val="rvps122"/>
        <w:numPr>
          <w:ilvl w:val="0"/>
          <w:numId w:val="19"/>
        </w:numPr>
        <w:tabs>
          <w:tab w:val="left" w:pos="0"/>
          <w:tab w:val="left" w:pos="851"/>
        </w:tabs>
        <w:spacing w:before="0" w:beforeAutospacing="0" w:after="0" w:afterAutospacing="0"/>
        <w:ind w:left="0" w:firstLine="567"/>
        <w:jc w:val="both"/>
        <w:rPr>
          <w:sz w:val="28"/>
          <w:szCs w:val="28"/>
          <w:lang w:val="uk-UA"/>
        </w:rPr>
      </w:pPr>
      <w:r w:rsidRPr="00DC7E0E">
        <w:rPr>
          <w:sz w:val="28"/>
          <w:szCs w:val="28"/>
          <w:lang w:val="uk-UA"/>
        </w:rPr>
        <w:t xml:space="preserve">заходи з енергозбереження, впровадження </w:t>
      </w:r>
      <w:proofErr w:type="spellStart"/>
      <w:r w:rsidRPr="00DC7E0E">
        <w:rPr>
          <w:sz w:val="28"/>
          <w:szCs w:val="28"/>
          <w:lang w:val="uk-UA"/>
        </w:rPr>
        <w:t>енергоефективних</w:t>
      </w:r>
      <w:proofErr w:type="spellEnd"/>
      <w:r w:rsidRPr="00DC7E0E">
        <w:rPr>
          <w:sz w:val="28"/>
          <w:szCs w:val="28"/>
          <w:lang w:val="uk-UA"/>
        </w:rPr>
        <w:t xml:space="preserve"> та інноваційних технологій в житлово-комунальному господарстві, заохочення населення до впровадження енергозберігаючих заходів;</w:t>
      </w:r>
    </w:p>
    <w:p w:rsidR="009245CA" w:rsidRPr="00DC7E0E" w:rsidRDefault="009245CA" w:rsidP="005F62B5">
      <w:pPr>
        <w:pStyle w:val="rvps122"/>
        <w:numPr>
          <w:ilvl w:val="0"/>
          <w:numId w:val="19"/>
        </w:numPr>
        <w:tabs>
          <w:tab w:val="left" w:pos="0"/>
          <w:tab w:val="left" w:pos="851"/>
        </w:tabs>
        <w:spacing w:before="0" w:beforeAutospacing="0" w:after="0" w:afterAutospacing="0"/>
        <w:ind w:left="0" w:firstLine="567"/>
        <w:jc w:val="both"/>
        <w:rPr>
          <w:sz w:val="28"/>
          <w:szCs w:val="28"/>
          <w:lang w:val="uk-UA"/>
        </w:rPr>
      </w:pPr>
      <w:r w:rsidRPr="00DC7E0E">
        <w:rPr>
          <w:sz w:val="28"/>
          <w:szCs w:val="28"/>
          <w:lang w:val="uk-UA"/>
        </w:rPr>
        <w:t>поліпшення матеріально-технічної бази притулку для безпритульних тварин</w:t>
      </w:r>
      <w:r w:rsidR="005F62B5" w:rsidRPr="00DC7E0E">
        <w:rPr>
          <w:sz w:val="28"/>
          <w:szCs w:val="28"/>
          <w:lang w:val="uk-UA"/>
        </w:rPr>
        <w:t>.</w:t>
      </w:r>
    </w:p>
    <w:p w:rsidR="007B7942" w:rsidRPr="00DC7E0E" w:rsidRDefault="007B7942" w:rsidP="00F96494">
      <w:pPr>
        <w:pStyle w:val="rvps122"/>
        <w:tabs>
          <w:tab w:val="left" w:pos="993"/>
        </w:tabs>
        <w:spacing w:before="0" w:beforeAutospacing="0" w:after="0" w:afterAutospacing="0"/>
        <w:ind w:firstLine="708"/>
        <w:jc w:val="both"/>
        <w:rPr>
          <w:sz w:val="28"/>
          <w:szCs w:val="28"/>
          <w:highlight w:val="red"/>
          <w:lang w:val="uk-UA" w:eastAsia="uk-UA"/>
        </w:rPr>
      </w:pPr>
    </w:p>
    <w:p w:rsidR="009245CA" w:rsidRPr="00DC7E0E" w:rsidRDefault="009245CA" w:rsidP="005F62B5">
      <w:pPr>
        <w:widowControl w:val="0"/>
        <w:shd w:val="clear" w:color="auto" w:fill="FFFFFF"/>
        <w:tabs>
          <w:tab w:val="left" w:pos="993"/>
        </w:tabs>
        <w:autoSpaceDE w:val="0"/>
        <w:autoSpaceDN w:val="0"/>
        <w:adjustRightInd w:val="0"/>
        <w:ind w:firstLine="567"/>
        <w:jc w:val="both"/>
        <w:rPr>
          <w:b/>
          <w:i/>
          <w:sz w:val="28"/>
          <w:szCs w:val="28"/>
          <w:lang w:val="uk-UA"/>
        </w:rPr>
      </w:pPr>
      <w:r w:rsidRPr="00DC7E0E">
        <w:rPr>
          <w:b/>
          <w:i/>
          <w:sz w:val="28"/>
          <w:szCs w:val="28"/>
          <w:lang w:val="uk-UA"/>
        </w:rPr>
        <w:t xml:space="preserve">Розвиток міської комунальної інфраструктури та комунального транспорту </w:t>
      </w:r>
    </w:p>
    <w:p w:rsidR="009245CA" w:rsidRPr="00DC7E0E" w:rsidRDefault="009245CA" w:rsidP="005F62B5">
      <w:pPr>
        <w:pStyle w:val="rvps122"/>
        <w:spacing w:before="0" w:beforeAutospacing="0" w:after="0" w:afterAutospacing="0"/>
        <w:ind w:firstLine="567"/>
        <w:jc w:val="both"/>
        <w:rPr>
          <w:sz w:val="28"/>
          <w:szCs w:val="28"/>
          <w:lang w:val="uk-UA"/>
        </w:rPr>
      </w:pPr>
      <w:r w:rsidRPr="00DC7E0E">
        <w:rPr>
          <w:sz w:val="28"/>
          <w:szCs w:val="28"/>
          <w:lang w:val="uk-UA"/>
        </w:rPr>
        <w:t xml:space="preserve">На розроблення та реалізацію проектів будівництва та регіонального розвитку передбачається  спрямувати  в 2022 році - 248318,7 тис </w:t>
      </w:r>
      <w:proofErr w:type="spellStart"/>
      <w:r w:rsidRPr="00DC7E0E">
        <w:rPr>
          <w:sz w:val="28"/>
          <w:szCs w:val="28"/>
          <w:lang w:val="uk-UA"/>
        </w:rPr>
        <w:t>грн</w:t>
      </w:r>
      <w:proofErr w:type="spellEnd"/>
      <w:r w:rsidRPr="00DC7E0E">
        <w:rPr>
          <w:sz w:val="28"/>
          <w:szCs w:val="28"/>
          <w:lang w:val="uk-UA"/>
        </w:rPr>
        <w:t>, в 2023 році – 479559,1 тис.</w:t>
      </w:r>
      <w:r w:rsidR="00622348" w:rsidRPr="00DC7E0E">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 в 2024 – 418076,3 тис.</w:t>
      </w:r>
      <w:r w:rsidR="00622348" w:rsidRPr="00DC7E0E">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 зокрема, за такими пріоритетними напрямами, як будівництво та реконструкція освітніх і медичних установ та закладів, об'єктів житлово-комунального господарства, спортивних споруд та інших об'єктів соціальної та виробничої інфраструктури у тому числі</w:t>
      </w:r>
      <w:r w:rsidR="005B71E6" w:rsidRPr="00DC7E0E">
        <w:rPr>
          <w:sz w:val="28"/>
          <w:szCs w:val="28"/>
          <w:lang w:val="uk-UA"/>
        </w:rPr>
        <w:t xml:space="preserve"> с</w:t>
      </w:r>
      <w:r w:rsidRPr="00DC7E0E">
        <w:rPr>
          <w:sz w:val="28"/>
          <w:szCs w:val="28"/>
          <w:lang w:val="uk-UA"/>
        </w:rPr>
        <w:t>прямування коштів на об’єкти будівництва і реконструкції здійснюватиметься в установленому порядку, відповідно до програми економічного і соціального розвитку  м.</w:t>
      </w:r>
      <w:r w:rsidR="00622348" w:rsidRPr="00DC7E0E">
        <w:rPr>
          <w:sz w:val="28"/>
          <w:szCs w:val="28"/>
          <w:lang w:val="uk-UA"/>
        </w:rPr>
        <w:t xml:space="preserve"> </w:t>
      </w:r>
      <w:r w:rsidRPr="00DC7E0E">
        <w:rPr>
          <w:sz w:val="28"/>
          <w:szCs w:val="28"/>
          <w:lang w:val="uk-UA"/>
        </w:rPr>
        <w:t>Миколаєва на 2022-2024 роки</w:t>
      </w:r>
      <w:r w:rsidR="005158F2" w:rsidRPr="00DC7E0E">
        <w:rPr>
          <w:sz w:val="28"/>
          <w:szCs w:val="28"/>
          <w:lang w:val="uk-UA"/>
        </w:rPr>
        <w:t xml:space="preserve"> </w:t>
      </w:r>
      <w:r w:rsidRPr="00DC7E0E">
        <w:rPr>
          <w:sz w:val="28"/>
          <w:szCs w:val="28"/>
          <w:lang w:val="uk-UA"/>
        </w:rPr>
        <w:t>(</w:t>
      </w:r>
      <w:proofErr w:type="spellStart"/>
      <w:r w:rsidRPr="00DC7E0E">
        <w:rPr>
          <w:sz w:val="28"/>
          <w:szCs w:val="28"/>
          <w:lang w:val="uk-UA"/>
        </w:rPr>
        <w:t>проєкт</w:t>
      </w:r>
      <w:proofErr w:type="spellEnd"/>
      <w:r w:rsidRPr="00DC7E0E">
        <w:rPr>
          <w:sz w:val="28"/>
          <w:szCs w:val="28"/>
          <w:lang w:val="uk-UA"/>
        </w:rPr>
        <w:t>).</w:t>
      </w:r>
    </w:p>
    <w:p w:rsidR="009245CA" w:rsidRPr="00DC7E0E" w:rsidRDefault="009245CA" w:rsidP="005F62B5">
      <w:pPr>
        <w:pStyle w:val="rvps122"/>
        <w:spacing w:before="0" w:beforeAutospacing="0" w:after="0" w:afterAutospacing="0"/>
        <w:ind w:firstLine="567"/>
        <w:jc w:val="both"/>
        <w:rPr>
          <w:sz w:val="28"/>
          <w:szCs w:val="28"/>
          <w:lang w:val="uk-UA"/>
        </w:rPr>
      </w:pPr>
      <w:r w:rsidRPr="00DC7E0E">
        <w:rPr>
          <w:sz w:val="28"/>
          <w:szCs w:val="28"/>
          <w:lang w:val="uk-UA"/>
        </w:rPr>
        <w:t>У галузі т</w:t>
      </w:r>
      <w:r w:rsidRPr="00DC7E0E">
        <w:rPr>
          <w:rStyle w:val="rvts48"/>
          <w:sz w:val="28"/>
          <w:szCs w:val="28"/>
          <w:lang w:val="uk-UA"/>
        </w:rPr>
        <w:t>ранспорту та транспортної інфраструктури, дорожнього господарства</w:t>
      </w:r>
      <w:r w:rsidRPr="00DC7E0E">
        <w:rPr>
          <w:sz w:val="28"/>
          <w:szCs w:val="28"/>
          <w:lang w:val="uk-UA"/>
        </w:rPr>
        <w:t xml:space="preserve"> пріоритетними напрямками спрямування коштів є проведення капітального та поточного ремонту доріг місцевого значення; оновлення рухомого складу громадського транспорту; будівництво тролейбусних ліній, капітальний ремонт, модернізація і розвиток ряду об’єктів тролейбусної інфраструктури. В 2022 році на зазначені цілі передбачені видатки в сумі 506147,3 </w:t>
      </w:r>
      <w:r w:rsidR="008260BB" w:rsidRPr="00DC7E0E">
        <w:rPr>
          <w:sz w:val="28"/>
          <w:szCs w:val="28"/>
          <w:lang w:val="uk-UA"/>
        </w:rPr>
        <w:t xml:space="preserve"> </w:t>
      </w:r>
      <w:r w:rsidRPr="00DC7E0E">
        <w:rPr>
          <w:sz w:val="28"/>
          <w:szCs w:val="28"/>
          <w:lang w:val="uk-UA"/>
        </w:rPr>
        <w:t>тис.</w:t>
      </w:r>
      <w:r w:rsidR="005158F2" w:rsidRPr="00DC7E0E">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 в 2023 році – 380787,1 тис.</w:t>
      </w:r>
      <w:r w:rsidR="005158F2" w:rsidRPr="00DC7E0E">
        <w:rPr>
          <w:sz w:val="28"/>
          <w:szCs w:val="28"/>
          <w:lang w:val="uk-UA"/>
        </w:rPr>
        <w:t xml:space="preserve"> </w:t>
      </w:r>
      <w:proofErr w:type="spellStart"/>
      <w:r w:rsidRPr="00DC7E0E">
        <w:rPr>
          <w:sz w:val="28"/>
          <w:szCs w:val="28"/>
          <w:lang w:val="uk-UA"/>
        </w:rPr>
        <w:t>грн</w:t>
      </w:r>
      <w:proofErr w:type="spellEnd"/>
      <w:r w:rsidRPr="00DC7E0E">
        <w:rPr>
          <w:sz w:val="28"/>
          <w:szCs w:val="28"/>
          <w:lang w:val="uk-UA"/>
        </w:rPr>
        <w:t>, 2024 році – 434509,4 тис.</w:t>
      </w:r>
      <w:r w:rsidR="005158F2" w:rsidRPr="00DC7E0E">
        <w:rPr>
          <w:sz w:val="28"/>
          <w:szCs w:val="28"/>
          <w:lang w:val="uk-UA"/>
        </w:rPr>
        <w:t xml:space="preserve"> </w:t>
      </w:r>
      <w:r w:rsidRPr="00DC7E0E">
        <w:rPr>
          <w:sz w:val="28"/>
          <w:szCs w:val="28"/>
          <w:lang w:val="uk-UA"/>
        </w:rPr>
        <w:t>грн. внаслідок чого планується досягти покращання стану автомобільних доріг, покращання інфраструктури громадського транспорту міста Миколаєва та оновлення рухомого складу комунального транспорту, створення безпечних та комфортних умов перевезення пасажирів для всіх категорій громадян.</w:t>
      </w:r>
    </w:p>
    <w:p w:rsidR="005B4286" w:rsidRPr="00DC7E0E" w:rsidRDefault="005B4286" w:rsidP="00F96494">
      <w:pPr>
        <w:pStyle w:val="rvps180"/>
        <w:tabs>
          <w:tab w:val="left" w:pos="993"/>
        </w:tabs>
        <w:spacing w:before="0" w:beforeAutospacing="0" w:after="0" w:afterAutospacing="0"/>
        <w:ind w:firstLine="708"/>
        <w:jc w:val="both"/>
        <w:rPr>
          <w:rStyle w:val="rvts9"/>
          <w:sz w:val="28"/>
          <w:szCs w:val="28"/>
          <w:lang w:val="uk-UA"/>
        </w:rPr>
      </w:pPr>
    </w:p>
    <w:p w:rsidR="007B7942" w:rsidRPr="00DC7E0E" w:rsidRDefault="007B7942" w:rsidP="00BB37C3">
      <w:pPr>
        <w:pStyle w:val="rvps180"/>
        <w:tabs>
          <w:tab w:val="left" w:pos="993"/>
        </w:tabs>
        <w:spacing w:before="0" w:beforeAutospacing="0" w:after="0" w:afterAutospacing="0"/>
        <w:ind w:firstLine="567"/>
        <w:rPr>
          <w:rStyle w:val="rvts9"/>
          <w:b/>
          <w:sz w:val="28"/>
          <w:szCs w:val="28"/>
          <w:lang w:val="uk-UA"/>
        </w:rPr>
      </w:pPr>
      <w:r w:rsidRPr="00DC7E0E">
        <w:rPr>
          <w:rStyle w:val="rvts9"/>
          <w:b/>
          <w:i/>
          <w:sz w:val="28"/>
          <w:szCs w:val="28"/>
          <w:lang w:val="uk-UA"/>
        </w:rPr>
        <w:t>Громадський порядок та безпека</w:t>
      </w:r>
    </w:p>
    <w:p w:rsidR="009245CA" w:rsidRPr="00DC7E0E" w:rsidRDefault="009245CA" w:rsidP="005F62B5">
      <w:pPr>
        <w:ind w:right="-1" w:firstLine="567"/>
        <w:jc w:val="both"/>
        <w:rPr>
          <w:sz w:val="28"/>
          <w:szCs w:val="28"/>
          <w:lang w:val="uk-UA"/>
        </w:rPr>
      </w:pPr>
      <w:r w:rsidRPr="00DC7E0E">
        <w:rPr>
          <w:bCs/>
          <w:sz w:val="28"/>
          <w:szCs w:val="28"/>
          <w:lang w:val="uk-UA"/>
        </w:rPr>
        <w:t>Під час планування прогнозу бюджету Миколаївської міської територіальної громади на 2022-2024 роки було заплановано кошти в сумі 13</w:t>
      </w:r>
      <w:r w:rsidR="00DA4426" w:rsidRPr="00DC7E0E">
        <w:rPr>
          <w:bCs/>
          <w:sz w:val="28"/>
          <w:szCs w:val="28"/>
          <w:lang w:val="uk-UA"/>
        </w:rPr>
        <w:t> </w:t>
      </w:r>
      <w:r w:rsidRPr="00DC7E0E">
        <w:rPr>
          <w:bCs/>
          <w:sz w:val="28"/>
          <w:szCs w:val="28"/>
          <w:lang w:val="uk-UA"/>
        </w:rPr>
        <w:t>689</w:t>
      </w:r>
      <w:r w:rsidR="00DA4426" w:rsidRPr="00DC7E0E">
        <w:rPr>
          <w:bCs/>
          <w:sz w:val="28"/>
          <w:szCs w:val="28"/>
          <w:lang w:val="uk-UA"/>
        </w:rPr>
        <w:t>,5 тис.</w:t>
      </w:r>
      <w:r w:rsidRPr="00DC7E0E">
        <w:rPr>
          <w:bCs/>
          <w:sz w:val="28"/>
          <w:szCs w:val="28"/>
          <w:lang w:val="uk-UA"/>
        </w:rPr>
        <w:t xml:space="preserve"> </w:t>
      </w:r>
      <w:proofErr w:type="spellStart"/>
      <w:r w:rsidRPr="00DC7E0E">
        <w:rPr>
          <w:bCs/>
          <w:sz w:val="28"/>
          <w:szCs w:val="28"/>
          <w:lang w:val="uk-UA"/>
        </w:rPr>
        <w:t>грн</w:t>
      </w:r>
      <w:proofErr w:type="spellEnd"/>
      <w:r w:rsidR="004409C5" w:rsidRPr="00DC7E0E">
        <w:rPr>
          <w:bCs/>
          <w:sz w:val="28"/>
          <w:szCs w:val="28"/>
          <w:lang w:val="uk-UA"/>
        </w:rPr>
        <w:t xml:space="preserve"> </w:t>
      </w:r>
      <w:r w:rsidRPr="00DC7E0E">
        <w:rPr>
          <w:sz w:val="28"/>
          <w:szCs w:val="28"/>
          <w:lang w:val="uk-UA"/>
        </w:rPr>
        <w:t xml:space="preserve">на реалізацію заходів міської Програми "Сприяння діяльності правоохоронних органів на території м. Миколаєва на 2020-2022 роки" та </w:t>
      </w:r>
      <w:r w:rsidRPr="00DC7E0E">
        <w:rPr>
          <w:bCs/>
          <w:sz w:val="28"/>
          <w:szCs w:val="28"/>
          <w:lang w:val="uk-UA"/>
        </w:rPr>
        <w:t xml:space="preserve">міської комплексної Програми </w:t>
      </w:r>
      <w:r w:rsidRPr="00DC7E0E">
        <w:rPr>
          <w:sz w:val="28"/>
          <w:szCs w:val="28"/>
          <w:lang w:val="uk-UA"/>
        </w:rPr>
        <w:t>"Сприяння оборонній і мобілізаційній готовності міста Миколаєва на 2021-2023 роки" на заходи та роботи з мобілізаційної підготовки місцевого значення.</w:t>
      </w:r>
    </w:p>
    <w:p w:rsidR="009245CA" w:rsidRPr="00DC7E0E" w:rsidRDefault="009245CA" w:rsidP="009245CA">
      <w:pPr>
        <w:ind w:right="-284" w:firstLine="567"/>
        <w:jc w:val="both"/>
        <w:rPr>
          <w:sz w:val="28"/>
          <w:szCs w:val="28"/>
          <w:lang w:val="uk-UA"/>
        </w:rPr>
      </w:pPr>
    </w:p>
    <w:p w:rsidR="00970686" w:rsidRPr="00DC7E0E" w:rsidRDefault="00970686" w:rsidP="00F96494">
      <w:pPr>
        <w:pStyle w:val="rvps180"/>
        <w:tabs>
          <w:tab w:val="left" w:pos="993"/>
        </w:tabs>
        <w:spacing w:before="0" w:beforeAutospacing="0" w:after="0" w:afterAutospacing="0"/>
        <w:ind w:firstLine="708"/>
        <w:jc w:val="both"/>
        <w:rPr>
          <w:rStyle w:val="rvts9"/>
          <w:b/>
          <w:bCs/>
          <w:i/>
          <w:iCs/>
          <w:sz w:val="28"/>
          <w:szCs w:val="28"/>
          <w:lang w:val="uk-UA"/>
        </w:rPr>
      </w:pPr>
      <w:r w:rsidRPr="00DC7E0E">
        <w:rPr>
          <w:rStyle w:val="rvts9"/>
          <w:b/>
          <w:bCs/>
          <w:i/>
          <w:iCs/>
          <w:sz w:val="28"/>
          <w:szCs w:val="28"/>
          <w:lang w:val="uk-UA"/>
        </w:rPr>
        <w:t>Резервний фонд</w:t>
      </w:r>
    </w:p>
    <w:p w:rsidR="00EB27EF" w:rsidRPr="00DC7E0E" w:rsidRDefault="00415AE5" w:rsidP="00F96494">
      <w:pPr>
        <w:shd w:val="clear" w:color="auto" w:fill="FFFFFF"/>
        <w:tabs>
          <w:tab w:val="left" w:pos="993"/>
        </w:tabs>
        <w:ind w:firstLine="708"/>
        <w:jc w:val="both"/>
        <w:rPr>
          <w:rStyle w:val="rvts9"/>
          <w:sz w:val="28"/>
          <w:szCs w:val="28"/>
          <w:lang w:val="uk-UA"/>
        </w:rPr>
      </w:pPr>
      <w:r w:rsidRPr="00DC7E0E">
        <w:rPr>
          <w:rStyle w:val="rvts9"/>
          <w:sz w:val="28"/>
          <w:szCs w:val="28"/>
          <w:lang w:val="uk-UA"/>
        </w:rPr>
        <w:t>Для здійснення непередбачених видатків, що не мають постійного характеру і не могли бути передбачені під час складання прогнозу бюджет</w:t>
      </w:r>
      <w:r w:rsidR="006D541C" w:rsidRPr="00DC7E0E">
        <w:rPr>
          <w:rStyle w:val="rvts9"/>
          <w:sz w:val="28"/>
          <w:szCs w:val="28"/>
          <w:lang w:val="uk-UA"/>
        </w:rPr>
        <w:t>у</w:t>
      </w:r>
      <w:r w:rsidR="006431FA">
        <w:rPr>
          <w:rStyle w:val="rvts9"/>
          <w:sz w:val="28"/>
          <w:szCs w:val="28"/>
          <w:lang w:val="uk-UA"/>
        </w:rPr>
        <w:t xml:space="preserve"> </w:t>
      </w:r>
      <w:r w:rsidR="006D541C" w:rsidRPr="00DC7E0E">
        <w:rPr>
          <w:rStyle w:val="rvts9"/>
          <w:sz w:val="28"/>
          <w:szCs w:val="28"/>
          <w:lang w:val="uk-UA"/>
        </w:rPr>
        <w:t>Миколаївської</w:t>
      </w:r>
      <w:r w:rsidRPr="00DC7E0E">
        <w:rPr>
          <w:rStyle w:val="rvts9"/>
          <w:sz w:val="28"/>
          <w:szCs w:val="28"/>
          <w:lang w:val="uk-UA"/>
        </w:rPr>
        <w:t xml:space="preserve"> міської територіальної громади пе</w:t>
      </w:r>
      <w:r w:rsidR="002440C4" w:rsidRPr="00DC7E0E">
        <w:rPr>
          <w:rStyle w:val="rvts9"/>
          <w:sz w:val="28"/>
          <w:szCs w:val="28"/>
          <w:lang w:val="uk-UA"/>
        </w:rPr>
        <w:t>редбачено резервний фонд у 2022 </w:t>
      </w:r>
      <w:r w:rsidRPr="00DC7E0E">
        <w:rPr>
          <w:rStyle w:val="rvts9"/>
          <w:sz w:val="28"/>
          <w:szCs w:val="28"/>
          <w:lang w:val="uk-UA"/>
        </w:rPr>
        <w:t>році – 3</w:t>
      </w:r>
      <w:r w:rsidR="003F67F6" w:rsidRPr="00DC7E0E">
        <w:rPr>
          <w:rStyle w:val="rvts9"/>
          <w:sz w:val="28"/>
          <w:szCs w:val="28"/>
          <w:lang w:val="uk-UA"/>
        </w:rPr>
        <w:t>0</w:t>
      </w:r>
      <w:r w:rsidRPr="00DC7E0E">
        <w:rPr>
          <w:rStyle w:val="rvts9"/>
          <w:sz w:val="28"/>
          <w:szCs w:val="28"/>
          <w:lang w:val="uk-UA"/>
        </w:rPr>
        <w:t xml:space="preserve"> 000,0 тис. </w:t>
      </w:r>
      <w:proofErr w:type="spellStart"/>
      <w:r w:rsidRPr="00DC7E0E">
        <w:rPr>
          <w:rStyle w:val="rvts9"/>
          <w:sz w:val="28"/>
          <w:szCs w:val="28"/>
          <w:lang w:val="uk-UA"/>
        </w:rPr>
        <w:t>грн</w:t>
      </w:r>
      <w:proofErr w:type="spellEnd"/>
      <w:r w:rsidRPr="00DC7E0E">
        <w:rPr>
          <w:rStyle w:val="rvts9"/>
          <w:sz w:val="28"/>
          <w:szCs w:val="28"/>
          <w:lang w:val="uk-UA"/>
        </w:rPr>
        <w:t xml:space="preserve">; у 2023 році – </w:t>
      </w:r>
      <w:r w:rsidR="003F67F6" w:rsidRPr="00DC7E0E">
        <w:rPr>
          <w:rStyle w:val="rvts9"/>
          <w:sz w:val="28"/>
          <w:szCs w:val="28"/>
          <w:lang w:val="uk-UA"/>
        </w:rPr>
        <w:t>30</w:t>
      </w:r>
      <w:r w:rsidRPr="00DC7E0E">
        <w:rPr>
          <w:rStyle w:val="rvts9"/>
          <w:sz w:val="28"/>
          <w:szCs w:val="28"/>
          <w:lang w:val="uk-UA"/>
        </w:rPr>
        <w:t xml:space="preserve"> 000,0 тис. </w:t>
      </w:r>
      <w:proofErr w:type="spellStart"/>
      <w:r w:rsidRPr="00DC7E0E">
        <w:rPr>
          <w:rStyle w:val="rvts9"/>
          <w:sz w:val="28"/>
          <w:szCs w:val="28"/>
          <w:lang w:val="uk-UA"/>
        </w:rPr>
        <w:t>грн</w:t>
      </w:r>
      <w:proofErr w:type="spellEnd"/>
      <w:r w:rsidRPr="00DC7E0E">
        <w:rPr>
          <w:rStyle w:val="rvts9"/>
          <w:sz w:val="28"/>
          <w:szCs w:val="28"/>
          <w:lang w:val="uk-UA"/>
        </w:rPr>
        <w:t xml:space="preserve">; у 2024 році – </w:t>
      </w:r>
      <w:r w:rsidR="003F67F6" w:rsidRPr="00DC7E0E">
        <w:rPr>
          <w:rStyle w:val="rvts9"/>
          <w:sz w:val="28"/>
          <w:szCs w:val="28"/>
          <w:lang w:val="uk-UA"/>
        </w:rPr>
        <w:t>30</w:t>
      </w:r>
      <w:r w:rsidRPr="00DC7E0E">
        <w:rPr>
          <w:rStyle w:val="rvts9"/>
          <w:sz w:val="28"/>
          <w:szCs w:val="28"/>
          <w:lang w:val="uk-UA"/>
        </w:rPr>
        <w:t> 000,0 тис. грн.</w:t>
      </w:r>
    </w:p>
    <w:p w:rsidR="00415AE5" w:rsidRPr="00DC7E0E" w:rsidRDefault="00415AE5" w:rsidP="00F96494">
      <w:pPr>
        <w:shd w:val="clear" w:color="auto" w:fill="FFFFFF"/>
        <w:tabs>
          <w:tab w:val="left" w:pos="993"/>
        </w:tabs>
        <w:ind w:firstLine="708"/>
        <w:jc w:val="both"/>
        <w:rPr>
          <w:rStyle w:val="rvts9"/>
          <w:sz w:val="28"/>
          <w:szCs w:val="28"/>
          <w:lang w:val="uk-UA"/>
        </w:rPr>
      </w:pPr>
      <w:r w:rsidRPr="00DC7E0E">
        <w:rPr>
          <w:rStyle w:val="rvts9"/>
          <w:sz w:val="28"/>
          <w:szCs w:val="28"/>
          <w:lang w:val="uk-UA"/>
        </w:rPr>
        <w:t>З урахуванням вимог пункту 3 Порядку використання коштів резервного фонду бюджету, затвердженого постановою Кабінету Міністрів України від                         29 березня 2002 року № 415, р</w:t>
      </w:r>
      <w:r w:rsidRPr="00DC7E0E">
        <w:rPr>
          <w:sz w:val="28"/>
          <w:szCs w:val="28"/>
          <w:shd w:val="clear" w:color="auto" w:fill="FFFFFF"/>
          <w:lang w:val="uk-UA"/>
        </w:rPr>
        <w:t xml:space="preserve">езервний фонд бюджету </w:t>
      </w:r>
      <w:r w:rsidR="006D541C" w:rsidRPr="00DC7E0E">
        <w:rPr>
          <w:sz w:val="28"/>
          <w:szCs w:val="28"/>
          <w:shd w:val="clear" w:color="auto" w:fill="FFFFFF"/>
          <w:lang w:val="uk-UA"/>
        </w:rPr>
        <w:t>Миколаївської</w:t>
      </w:r>
      <w:r w:rsidRPr="00DC7E0E">
        <w:rPr>
          <w:sz w:val="28"/>
          <w:szCs w:val="28"/>
          <w:shd w:val="clear" w:color="auto" w:fill="FFFFFF"/>
          <w:lang w:val="uk-UA"/>
        </w:rPr>
        <w:t xml:space="preserve"> міської територіальної громади не перевищує 1 відсотка обсягу видатків загального фонду бюджету </w:t>
      </w:r>
      <w:r w:rsidR="006D541C" w:rsidRPr="00DC7E0E">
        <w:rPr>
          <w:sz w:val="28"/>
          <w:szCs w:val="28"/>
          <w:shd w:val="clear" w:color="auto" w:fill="FFFFFF"/>
          <w:lang w:val="uk-UA"/>
        </w:rPr>
        <w:t>Миколаївської</w:t>
      </w:r>
      <w:r w:rsidRPr="00DC7E0E">
        <w:rPr>
          <w:sz w:val="28"/>
          <w:szCs w:val="28"/>
          <w:shd w:val="clear" w:color="auto" w:fill="FFFFFF"/>
          <w:lang w:val="uk-UA"/>
        </w:rPr>
        <w:t xml:space="preserve"> міської територіальної громади.</w:t>
      </w:r>
    </w:p>
    <w:p w:rsidR="00415AE5" w:rsidRDefault="00415AE5" w:rsidP="00F96494">
      <w:pPr>
        <w:shd w:val="clear" w:color="auto" w:fill="FFFFFF"/>
        <w:tabs>
          <w:tab w:val="left" w:pos="993"/>
        </w:tabs>
        <w:ind w:firstLine="709"/>
        <w:jc w:val="both"/>
        <w:rPr>
          <w:rStyle w:val="rvts9"/>
          <w:sz w:val="28"/>
          <w:szCs w:val="28"/>
          <w:lang w:val="uk-UA"/>
        </w:rPr>
      </w:pPr>
    </w:p>
    <w:p w:rsidR="008007BA" w:rsidRPr="008007BA" w:rsidRDefault="008007BA" w:rsidP="008007BA">
      <w:pPr>
        <w:ind w:right="-284" w:firstLine="567"/>
        <w:jc w:val="both"/>
        <w:rPr>
          <w:b/>
          <w:bCs/>
          <w:i/>
          <w:sz w:val="32"/>
          <w:szCs w:val="32"/>
          <w:lang w:val="uk-UA"/>
        </w:rPr>
      </w:pPr>
      <w:r w:rsidRPr="008007BA">
        <w:rPr>
          <w:b/>
          <w:bCs/>
          <w:i/>
          <w:sz w:val="32"/>
          <w:szCs w:val="32"/>
          <w:lang w:val="uk-UA"/>
        </w:rPr>
        <w:t>Обслуговування боргу</w:t>
      </w:r>
    </w:p>
    <w:p w:rsidR="008007BA" w:rsidRPr="00E62C58" w:rsidRDefault="008007BA" w:rsidP="008007BA">
      <w:pPr>
        <w:tabs>
          <w:tab w:val="left" w:pos="993"/>
        </w:tabs>
        <w:ind w:firstLine="567"/>
        <w:jc w:val="both"/>
        <w:rPr>
          <w:sz w:val="28"/>
          <w:szCs w:val="28"/>
          <w:shd w:val="clear" w:color="auto" w:fill="FFFFFF"/>
          <w:lang w:val="uk-UA"/>
        </w:rPr>
      </w:pPr>
      <w:r w:rsidRPr="00E62C58">
        <w:rPr>
          <w:sz w:val="28"/>
          <w:szCs w:val="28"/>
          <w:shd w:val="clear" w:color="auto" w:fill="FFFFFF"/>
          <w:lang w:val="uk-UA"/>
        </w:rPr>
        <w:t>Ви</w:t>
      </w:r>
      <w:r w:rsidR="009C0EB5" w:rsidRPr="00E62C58">
        <w:rPr>
          <w:sz w:val="28"/>
          <w:szCs w:val="28"/>
          <w:shd w:val="clear" w:color="auto" w:fill="FFFFFF"/>
          <w:lang w:val="uk-UA"/>
        </w:rPr>
        <w:t xml:space="preserve">датки </w:t>
      </w:r>
      <w:r w:rsidRPr="00E62C58">
        <w:rPr>
          <w:sz w:val="28"/>
          <w:szCs w:val="28"/>
          <w:shd w:val="clear" w:color="auto" w:fill="FFFFFF"/>
          <w:lang w:val="uk-UA"/>
        </w:rPr>
        <w:t xml:space="preserve">бюджету Миколаївської міської територіальної громади на 2022-2024 роки з обслуговування місцевого боргу заплановано </w:t>
      </w:r>
      <w:r w:rsidR="00B77E61" w:rsidRPr="00E62C58">
        <w:rPr>
          <w:sz w:val="28"/>
          <w:szCs w:val="28"/>
          <w:shd w:val="clear" w:color="auto" w:fill="FFFFFF"/>
          <w:lang w:val="uk-UA"/>
        </w:rPr>
        <w:t xml:space="preserve">за діючими </w:t>
      </w:r>
      <w:r w:rsidR="00A833B2" w:rsidRPr="00E62C58">
        <w:rPr>
          <w:sz w:val="28"/>
          <w:szCs w:val="28"/>
          <w:shd w:val="clear" w:color="auto" w:fill="FFFFFF"/>
          <w:lang w:val="uk-UA"/>
        </w:rPr>
        <w:t>кредитними угод</w:t>
      </w:r>
      <w:r w:rsidR="00B77E61" w:rsidRPr="00E62C58">
        <w:rPr>
          <w:sz w:val="28"/>
          <w:szCs w:val="28"/>
          <w:shd w:val="clear" w:color="auto" w:fill="FFFFFF"/>
          <w:lang w:val="uk-UA"/>
        </w:rPr>
        <w:t xml:space="preserve"> з </w:t>
      </w:r>
      <w:r w:rsidR="00A833B2" w:rsidRPr="00E62C58">
        <w:rPr>
          <w:sz w:val="28"/>
          <w:szCs w:val="28"/>
          <w:lang w:val="uk-UA"/>
        </w:rPr>
        <w:t xml:space="preserve">Міністерством фінансів України відповідно до умов Фінансової угоди між Україною та Європейським інвестиційним банком (ЄІБ) від 16.12.2020 № 13010-05/227 та з Північною екологічною фінансовою корпорацією (НЕФКО) від 20.07.2020 та за </w:t>
      </w:r>
      <w:proofErr w:type="spellStart"/>
      <w:r w:rsidR="00A833B2" w:rsidRPr="00E62C58">
        <w:rPr>
          <w:sz w:val="28"/>
          <w:szCs w:val="28"/>
          <w:lang w:val="uk-UA"/>
        </w:rPr>
        <w:t>проєктом</w:t>
      </w:r>
      <w:proofErr w:type="spellEnd"/>
      <w:r w:rsidR="00A833B2" w:rsidRPr="00E62C58">
        <w:rPr>
          <w:sz w:val="28"/>
          <w:szCs w:val="28"/>
          <w:lang w:val="uk-UA"/>
        </w:rPr>
        <w:t xml:space="preserve"> кредитного договору з Публічним акціонерним товариством «Банк </w:t>
      </w:r>
      <w:proofErr w:type="spellStart"/>
      <w:r w:rsidR="00A833B2" w:rsidRPr="00E62C58">
        <w:rPr>
          <w:sz w:val="28"/>
          <w:szCs w:val="28"/>
          <w:lang w:val="uk-UA"/>
        </w:rPr>
        <w:t>Восток</w:t>
      </w:r>
      <w:proofErr w:type="spellEnd"/>
      <w:r w:rsidR="00A833B2" w:rsidRPr="00E62C58">
        <w:rPr>
          <w:sz w:val="28"/>
          <w:szCs w:val="28"/>
          <w:lang w:val="uk-UA"/>
        </w:rPr>
        <w:t xml:space="preserve">» </w:t>
      </w:r>
      <w:r w:rsidR="00882CB6" w:rsidRPr="00E62C58">
        <w:rPr>
          <w:sz w:val="28"/>
          <w:szCs w:val="28"/>
          <w:lang w:val="uk-UA"/>
        </w:rPr>
        <w:t>(</w:t>
      </w:r>
      <w:r w:rsidR="00F9039E" w:rsidRPr="00E62C58">
        <w:rPr>
          <w:sz w:val="28"/>
          <w:szCs w:val="28"/>
          <w:lang w:val="uk-UA"/>
        </w:rPr>
        <w:t>наказ Міністерства фінансів України від 16.07.2021 № 398 «Про погодження Обсягу та умов здійснення місцевого запозичення Миколаївською міською радою у 2021 році»)</w:t>
      </w:r>
      <w:r w:rsidR="00882CB6" w:rsidRPr="00E62C58">
        <w:rPr>
          <w:sz w:val="28"/>
          <w:szCs w:val="28"/>
          <w:lang w:val="uk-UA"/>
        </w:rPr>
        <w:t xml:space="preserve"> </w:t>
      </w:r>
      <w:r w:rsidRPr="00E62C58">
        <w:rPr>
          <w:sz w:val="28"/>
          <w:szCs w:val="28"/>
          <w:shd w:val="clear" w:color="auto" w:fill="FFFFFF"/>
          <w:lang w:val="uk-UA"/>
        </w:rPr>
        <w:t>відповідно до:</w:t>
      </w:r>
    </w:p>
    <w:p w:rsidR="008007BA" w:rsidRPr="00E62C58" w:rsidRDefault="008007BA" w:rsidP="008007BA">
      <w:pPr>
        <w:tabs>
          <w:tab w:val="left" w:pos="993"/>
        </w:tabs>
        <w:ind w:firstLine="709"/>
        <w:jc w:val="both"/>
        <w:rPr>
          <w:sz w:val="28"/>
          <w:szCs w:val="28"/>
          <w:shd w:val="clear" w:color="auto" w:fill="FFFFFF"/>
          <w:lang w:val="uk-UA"/>
        </w:rPr>
      </w:pPr>
      <w:r w:rsidRPr="00E62C58">
        <w:rPr>
          <w:sz w:val="28"/>
          <w:szCs w:val="28"/>
          <w:shd w:val="clear" w:color="auto" w:fill="FFFFFF"/>
          <w:lang w:val="uk-UA"/>
        </w:rPr>
        <w:t>- прогнозних графіків платежів;</w:t>
      </w:r>
    </w:p>
    <w:p w:rsidR="008007BA" w:rsidRPr="00E62C58" w:rsidRDefault="008007BA" w:rsidP="008007BA">
      <w:pPr>
        <w:tabs>
          <w:tab w:val="left" w:pos="993"/>
        </w:tabs>
        <w:ind w:firstLine="709"/>
        <w:jc w:val="both"/>
        <w:rPr>
          <w:sz w:val="28"/>
          <w:szCs w:val="28"/>
          <w:shd w:val="clear" w:color="auto" w:fill="FFFFFF"/>
          <w:lang w:val="uk-UA"/>
        </w:rPr>
      </w:pPr>
      <w:r w:rsidRPr="00E62C58">
        <w:rPr>
          <w:sz w:val="28"/>
          <w:szCs w:val="28"/>
          <w:shd w:val="clear" w:color="auto" w:fill="FFFFFF"/>
          <w:lang w:val="uk-UA"/>
        </w:rPr>
        <w:t>- діючих відсоткових ставок на момент складання показників</w:t>
      </w:r>
      <w:r w:rsidR="00B55557">
        <w:rPr>
          <w:sz w:val="28"/>
          <w:szCs w:val="28"/>
          <w:shd w:val="clear" w:color="auto" w:fill="FFFFFF"/>
          <w:lang w:val="uk-UA"/>
        </w:rPr>
        <w:t>;</w:t>
      </w:r>
    </w:p>
    <w:p w:rsidR="008007BA" w:rsidRPr="00E62C58" w:rsidRDefault="008007BA" w:rsidP="008007BA">
      <w:pPr>
        <w:tabs>
          <w:tab w:val="left" w:pos="993"/>
        </w:tabs>
        <w:ind w:firstLine="709"/>
        <w:jc w:val="both"/>
        <w:rPr>
          <w:sz w:val="28"/>
          <w:szCs w:val="28"/>
          <w:shd w:val="clear" w:color="auto" w:fill="FFFFFF"/>
          <w:lang w:val="uk-UA"/>
        </w:rPr>
      </w:pPr>
      <w:r w:rsidRPr="00E62C58">
        <w:rPr>
          <w:sz w:val="28"/>
          <w:szCs w:val="28"/>
          <w:shd w:val="clear" w:color="auto" w:fill="FFFFFF"/>
          <w:lang w:val="uk-UA"/>
        </w:rPr>
        <w:t xml:space="preserve">- </w:t>
      </w:r>
      <w:r w:rsidRPr="00E62C58">
        <w:rPr>
          <w:sz w:val="28"/>
          <w:szCs w:val="28"/>
          <w:lang w:val="uk-UA"/>
        </w:rPr>
        <w:t xml:space="preserve">прогнозного курс гривні до </w:t>
      </w:r>
      <w:r w:rsidR="00882CB6" w:rsidRPr="00E62C58">
        <w:rPr>
          <w:sz w:val="28"/>
          <w:szCs w:val="28"/>
          <w:lang w:val="uk-UA"/>
        </w:rPr>
        <w:t xml:space="preserve">євро (2022 рік </w:t>
      </w:r>
      <w:r w:rsidR="00442363" w:rsidRPr="00E62C58">
        <w:rPr>
          <w:sz w:val="28"/>
          <w:szCs w:val="28"/>
          <w:lang w:val="uk-UA"/>
        </w:rPr>
        <w:t>–</w:t>
      </w:r>
      <w:r w:rsidR="00882CB6" w:rsidRPr="00E62C58">
        <w:rPr>
          <w:sz w:val="28"/>
          <w:szCs w:val="28"/>
          <w:lang w:val="uk-UA"/>
        </w:rPr>
        <w:t xml:space="preserve"> </w:t>
      </w:r>
      <w:r w:rsidR="00442363" w:rsidRPr="00E62C58">
        <w:rPr>
          <w:sz w:val="28"/>
          <w:szCs w:val="28"/>
          <w:lang w:val="uk-UA"/>
        </w:rPr>
        <w:t>37,0 гривень за євро, 2023 рік – 38,0 гривень за євро, 2024 рік – 39,0 гривень за євро).</w:t>
      </w:r>
    </w:p>
    <w:p w:rsidR="008007BA" w:rsidRPr="00607777" w:rsidRDefault="008007BA" w:rsidP="008007BA">
      <w:pPr>
        <w:tabs>
          <w:tab w:val="left" w:pos="993"/>
        </w:tabs>
        <w:ind w:firstLine="709"/>
        <w:jc w:val="both"/>
        <w:rPr>
          <w:sz w:val="28"/>
          <w:szCs w:val="28"/>
          <w:lang w:val="uk-UA"/>
        </w:rPr>
      </w:pPr>
      <w:r w:rsidRPr="00607777">
        <w:rPr>
          <w:sz w:val="28"/>
          <w:szCs w:val="28"/>
          <w:lang w:val="uk-UA"/>
        </w:rPr>
        <w:t xml:space="preserve">Обсяг платежів з обслуговування місцевого боргу на 2022-2024 роки прогнозується наразі в обсязі </w:t>
      </w:r>
      <w:r w:rsidR="00B55557" w:rsidRPr="00607777">
        <w:rPr>
          <w:sz w:val="28"/>
          <w:szCs w:val="28"/>
          <w:lang w:val="uk-UA"/>
        </w:rPr>
        <w:t>19 866,0</w:t>
      </w:r>
      <w:r w:rsidRPr="00607777">
        <w:rPr>
          <w:sz w:val="28"/>
          <w:szCs w:val="28"/>
          <w:lang w:val="uk-UA"/>
        </w:rPr>
        <w:t xml:space="preserve"> тис. </w:t>
      </w:r>
      <w:proofErr w:type="spellStart"/>
      <w:r w:rsidRPr="00607777">
        <w:rPr>
          <w:sz w:val="28"/>
          <w:szCs w:val="28"/>
          <w:lang w:val="uk-UA"/>
        </w:rPr>
        <w:t>грн</w:t>
      </w:r>
      <w:proofErr w:type="spellEnd"/>
      <w:r w:rsidRPr="00607777">
        <w:rPr>
          <w:sz w:val="28"/>
          <w:szCs w:val="28"/>
          <w:lang w:val="uk-UA"/>
        </w:rPr>
        <w:t xml:space="preserve">, </w:t>
      </w:r>
      <w:r w:rsidR="00B55557" w:rsidRPr="00607777">
        <w:rPr>
          <w:sz w:val="28"/>
          <w:szCs w:val="28"/>
          <w:lang w:val="uk-UA"/>
        </w:rPr>
        <w:t>15 226,4</w:t>
      </w:r>
      <w:r w:rsidRPr="00607777">
        <w:rPr>
          <w:sz w:val="28"/>
          <w:szCs w:val="28"/>
          <w:lang w:val="uk-UA"/>
        </w:rPr>
        <w:t xml:space="preserve"> тис. </w:t>
      </w:r>
      <w:proofErr w:type="spellStart"/>
      <w:r w:rsidRPr="00607777">
        <w:rPr>
          <w:sz w:val="28"/>
          <w:szCs w:val="28"/>
          <w:lang w:val="uk-UA"/>
        </w:rPr>
        <w:t>грн</w:t>
      </w:r>
      <w:proofErr w:type="spellEnd"/>
      <w:r w:rsidRPr="00607777">
        <w:rPr>
          <w:sz w:val="28"/>
          <w:szCs w:val="28"/>
          <w:lang w:val="uk-UA"/>
        </w:rPr>
        <w:t xml:space="preserve"> та </w:t>
      </w:r>
      <w:r w:rsidR="00B55557" w:rsidRPr="00607777">
        <w:rPr>
          <w:sz w:val="28"/>
          <w:szCs w:val="28"/>
          <w:lang w:val="uk-UA"/>
        </w:rPr>
        <w:t>10 556,6</w:t>
      </w:r>
      <w:r w:rsidRPr="00607777">
        <w:rPr>
          <w:sz w:val="28"/>
          <w:szCs w:val="28"/>
          <w:lang w:val="uk-UA"/>
        </w:rPr>
        <w:t xml:space="preserve"> тис. </w:t>
      </w:r>
      <w:proofErr w:type="spellStart"/>
      <w:r w:rsidRPr="00607777">
        <w:rPr>
          <w:sz w:val="28"/>
          <w:szCs w:val="28"/>
          <w:lang w:val="uk-UA"/>
        </w:rPr>
        <w:t>грн</w:t>
      </w:r>
      <w:proofErr w:type="spellEnd"/>
      <w:r w:rsidRPr="00607777">
        <w:rPr>
          <w:sz w:val="28"/>
          <w:szCs w:val="28"/>
          <w:lang w:val="uk-UA"/>
        </w:rPr>
        <w:t xml:space="preserve"> відповідно.</w:t>
      </w:r>
    </w:p>
    <w:p w:rsidR="008007BA" w:rsidRDefault="008007BA" w:rsidP="00F96494">
      <w:pPr>
        <w:shd w:val="clear" w:color="auto" w:fill="FFFFFF"/>
        <w:tabs>
          <w:tab w:val="left" w:pos="993"/>
        </w:tabs>
        <w:ind w:firstLine="709"/>
        <w:jc w:val="both"/>
        <w:rPr>
          <w:rStyle w:val="rvts9"/>
          <w:sz w:val="28"/>
          <w:szCs w:val="28"/>
          <w:lang w:val="uk-UA"/>
        </w:rPr>
      </w:pPr>
    </w:p>
    <w:p w:rsidR="00BC38F6" w:rsidRPr="005650C0" w:rsidRDefault="00BC38F6" w:rsidP="008E6AF0">
      <w:pPr>
        <w:jc w:val="center"/>
        <w:rPr>
          <w:b/>
          <w:sz w:val="32"/>
          <w:szCs w:val="32"/>
          <w:lang w:val="uk-UA"/>
        </w:rPr>
      </w:pPr>
      <w:bookmarkStart w:id="2" w:name="_GoBack"/>
      <w:bookmarkEnd w:id="2"/>
      <w:r w:rsidRPr="005650C0">
        <w:rPr>
          <w:b/>
          <w:sz w:val="32"/>
          <w:szCs w:val="32"/>
          <w:lang w:val="uk-UA"/>
        </w:rPr>
        <w:t>Кредитування</w:t>
      </w:r>
    </w:p>
    <w:p w:rsidR="00BC38F6" w:rsidRPr="00DC7E0E" w:rsidRDefault="0057311F" w:rsidP="008260BB">
      <w:pPr>
        <w:tabs>
          <w:tab w:val="left" w:pos="851"/>
        </w:tabs>
        <w:ind w:firstLine="567"/>
        <w:jc w:val="both"/>
        <w:rPr>
          <w:sz w:val="28"/>
          <w:szCs w:val="28"/>
          <w:lang w:val="uk-UA"/>
        </w:rPr>
      </w:pPr>
      <w:r w:rsidRPr="00DC7E0E">
        <w:rPr>
          <w:sz w:val="28"/>
          <w:szCs w:val="28"/>
          <w:lang w:val="uk-UA"/>
        </w:rPr>
        <w:t>На виконання заходів</w:t>
      </w:r>
      <w:r w:rsidR="00BC38F6" w:rsidRPr="00DC7E0E">
        <w:rPr>
          <w:rFonts w:eastAsia="MS Mincho"/>
          <w:bCs/>
          <w:sz w:val="28"/>
          <w:szCs w:val="28"/>
          <w:lang w:val="uk-UA"/>
        </w:rPr>
        <w:t xml:space="preserve"> програми забезпечення молодих сімей та одиноких молодих громадян м. Миколаєва житлом </w:t>
      </w:r>
      <w:r w:rsidR="00BC38F6" w:rsidRPr="00DC7E0E">
        <w:rPr>
          <w:iCs/>
          <w:sz w:val="28"/>
          <w:szCs w:val="28"/>
          <w:lang w:val="uk-UA"/>
        </w:rPr>
        <w:t xml:space="preserve">планується направити </w:t>
      </w:r>
      <w:r w:rsidR="008260BB" w:rsidRPr="00DC7E0E">
        <w:rPr>
          <w:iCs/>
          <w:sz w:val="28"/>
          <w:szCs w:val="28"/>
          <w:lang w:val="uk-UA"/>
        </w:rPr>
        <w:t xml:space="preserve">у </w:t>
      </w:r>
      <w:r w:rsidR="008260BB" w:rsidRPr="00DC7E0E">
        <w:rPr>
          <w:sz w:val="28"/>
          <w:szCs w:val="28"/>
          <w:lang w:val="uk-UA"/>
        </w:rPr>
        <w:t xml:space="preserve">2022 році </w:t>
      </w:r>
      <w:r w:rsidR="00565F25" w:rsidRPr="00DC7E0E">
        <w:rPr>
          <w:sz w:val="28"/>
          <w:szCs w:val="28"/>
          <w:lang w:val="uk-UA"/>
        </w:rPr>
        <w:t>–</w:t>
      </w:r>
      <w:r w:rsidR="008260BB" w:rsidRPr="00DC7E0E">
        <w:rPr>
          <w:sz w:val="28"/>
          <w:szCs w:val="28"/>
          <w:lang w:val="uk-UA"/>
        </w:rPr>
        <w:t xml:space="preserve"> </w:t>
      </w:r>
      <w:r w:rsidR="00565F25" w:rsidRPr="00DC7E0E">
        <w:rPr>
          <w:sz w:val="28"/>
          <w:szCs w:val="28"/>
          <w:lang w:val="uk-UA"/>
        </w:rPr>
        <w:t>23 344,6</w:t>
      </w:r>
      <w:r w:rsidR="008260BB" w:rsidRPr="00DC7E0E">
        <w:rPr>
          <w:sz w:val="28"/>
          <w:szCs w:val="28"/>
          <w:lang w:val="uk-UA"/>
        </w:rPr>
        <w:t xml:space="preserve">  тис. </w:t>
      </w:r>
      <w:proofErr w:type="spellStart"/>
      <w:r w:rsidR="008260BB" w:rsidRPr="00DC7E0E">
        <w:rPr>
          <w:sz w:val="28"/>
          <w:szCs w:val="28"/>
          <w:lang w:val="uk-UA"/>
        </w:rPr>
        <w:t>грн</w:t>
      </w:r>
      <w:proofErr w:type="spellEnd"/>
      <w:r w:rsidR="008260BB" w:rsidRPr="00DC7E0E">
        <w:rPr>
          <w:sz w:val="28"/>
          <w:szCs w:val="28"/>
          <w:lang w:val="uk-UA"/>
        </w:rPr>
        <w:t xml:space="preserve">, 2023 році – </w:t>
      </w:r>
      <w:r w:rsidR="00565F25" w:rsidRPr="00DC7E0E">
        <w:rPr>
          <w:sz w:val="28"/>
          <w:szCs w:val="28"/>
          <w:lang w:val="uk-UA"/>
        </w:rPr>
        <w:t>25 359,5</w:t>
      </w:r>
      <w:r w:rsidR="008260BB" w:rsidRPr="00DC7E0E">
        <w:rPr>
          <w:sz w:val="28"/>
          <w:szCs w:val="28"/>
          <w:lang w:val="uk-UA"/>
        </w:rPr>
        <w:t xml:space="preserve"> тис. </w:t>
      </w:r>
      <w:proofErr w:type="spellStart"/>
      <w:r w:rsidR="008260BB" w:rsidRPr="00DC7E0E">
        <w:rPr>
          <w:sz w:val="28"/>
          <w:szCs w:val="28"/>
          <w:lang w:val="uk-UA"/>
        </w:rPr>
        <w:t>грн</w:t>
      </w:r>
      <w:proofErr w:type="spellEnd"/>
      <w:r w:rsidR="008260BB" w:rsidRPr="00DC7E0E">
        <w:rPr>
          <w:sz w:val="28"/>
          <w:szCs w:val="28"/>
          <w:lang w:val="uk-UA"/>
        </w:rPr>
        <w:t xml:space="preserve">, 2024 році – </w:t>
      </w:r>
      <w:r w:rsidR="00565F25" w:rsidRPr="00DC7E0E">
        <w:rPr>
          <w:sz w:val="28"/>
          <w:szCs w:val="28"/>
          <w:lang w:val="uk-UA"/>
        </w:rPr>
        <w:t>25 374,8</w:t>
      </w:r>
      <w:r w:rsidR="008260BB" w:rsidRPr="00DC7E0E">
        <w:rPr>
          <w:sz w:val="28"/>
          <w:szCs w:val="28"/>
          <w:lang w:val="uk-UA"/>
        </w:rPr>
        <w:t xml:space="preserve"> тис. грн.</w:t>
      </w:r>
    </w:p>
    <w:p w:rsidR="00E26A4C" w:rsidRPr="00DC7E0E" w:rsidRDefault="00BC38F6" w:rsidP="008260BB">
      <w:pPr>
        <w:pStyle w:val="ab"/>
        <w:tabs>
          <w:tab w:val="left" w:pos="851"/>
        </w:tabs>
        <w:spacing w:after="0"/>
        <w:ind w:right="-5" w:firstLine="426"/>
        <w:jc w:val="both"/>
        <w:rPr>
          <w:sz w:val="28"/>
          <w:szCs w:val="28"/>
          <w:lang w:val="uk-UA"/>
        </w:rPr>
      </w:pPr>
      <w:r w:rsidRPr="00DC7E0E">
        <w:rPr>
          <w:sz w:val="28"/>
          <w:szCs w:val="28"/>
          <w:lang w:val="uk-UA"/>
        </w:rPr>
        <w:t xml:space="preserve">Джерелом надання кредитів з бюджету є: </w:t>
      </w:r>
    </w:p>
    <w:p w:rsidR="00E26A4C" w:rsidRPr="00DC7E0E" w:rsidRDefault="00BC38F6" w:rsidP="008260BB">
      <w:pPr>
        <w:pStyle w:val="ab"/>
        <w:tabs>
          <w:tab w:val="left" w:pos="851"/>
        </w:tabs>
        <w:spacing w:after="0"/>
        <w:ind w:right="-5" w:firstLine="426"/>
        <w:jc w:val="both"/>
        <w:rPr>
          <w:sz w:val="28"/>
          <w:szCs w:val="28"/>
          <w:lang w:val="uk-UA"/>
        </w:rPr>
      </w:pPr>
      <w:r w:rsidRPr="00DC7E0E">
        <w:rPr>
          <w:sz w:val="28"/>
          <w:szCs w:val="28"/>
          <w:lang w:val="uk-UA"/>
        </w:rPr>
        <w:t xml:space="preserve">кошти загального фонду </w:t>
      </w:r>
      <w:r w:rsidR="00E26A4C" w:rsidRPr="00DC7E0E">
        <w:rPr>
          <w:rStyle w:val="rvts9"/>
          <w:sz w:val="28"/>
          <w:szCs w:val="28"/>
          <w:lang w:val="uk-UA"/>
        </w:rPr>
        <w:t xml:space="preserve">у 2022 році – 15 000,0 тис. </w:t>
      </w:r>
      <w:proofErr w:type="spellStart"/>
      <w:r w:rsidR="002F6335">
        <w:rPr>
          <w:rStyle w:val="rvts9"/>
          <w:sz w:val="28"/>
          <w:szCs w:val="28"/>
          <w:lang w:val="uk-UA"/>
        </w:rPr>
        <w:t>грн</w:t>
      </w:r>
      <w:proofErr w:type="spellEnd"/>
      <w:r w:rsidR="002F6335">
        <w:rPr>
          <w:rStyle w:val="rvts9"/>
          <w:sz w:val="28"/>
          <w:szCs w:val="28"/>
          <w:lang w:val="uk-UA"/>
        </w:rPr>
        <w:t>,</w:t>
      </w:r>
      <w:r w:rsidR="00E26A4C" w:rsidRPr="00DC7E0E">
        <w:rPr>
          <w:rStyle w:val="rvts9"/>
          <w:sz w:val="28"/>
          <w:szCs w:val="28"/>
          <w:lang w:val="uk-UA"/>
        </w:rPr>
        <w:t xml:space="preserve"> у 2023 році – 15 000,0 тис. </w:t>
      </w:r>
      <w:proofErr w:type="spellStart"/>
      <w:r w:rsidR="002F6335">
        <w:rPr>
          <w:rStyle w:val="rvts9"/>
          <w:sz w:val="28"/>
          <w:szCs w:val="28"/>
          <w:lang w:val="uk-UA"/>
        </w:rPr>
        <w:t>грн</w:t>
      </w:r>
      <w:proofErr w:type="spellEnd"/>
      <w:r w:rsidR="002F6335">
        <w:rPr>
          <w:rStyle w:val="rvts9"/>
          <w:sz w:val="28"/>
          <w:szCs w:val="28"/>
          <w:lang w:val="uk-UA"/>
        </w:rPr>
        <w:t>,</w:t>
      </w:r>
      <w:r w:rsidR="00E26A4C" w:rsidRPr="00DC7E0E">
        <w:rPr>
          <w:rStyle w:val="rvts9"/>
          <w:sz w:val="28"/>
          <w:szCs w:val="28"/>
          <w:lang w:val="uk-UA"/>
        </w:rPr>
        <w:t xml:space="preserve"> у 2024 році – 15 000,0 тис. </w:t>
      </w:r>
      <w:proofErr w:type="spellStart"/>
      <w:r w:rsidR="00E26A4C" w:rsidRPr="00DC7E0E">
        <w:rPr>
          <w:rStyle w:val="rvts9"/>
          <w:sz w:val="28"/>
          <w:szCs w:val="28"/>
          <w:lang w:val="uk-UA"/>
        </w:rPr>
        <w:t>грн</w:t>
      </w:r>
      <w:proofErr w:type="spellEnd"/>
      <w:r w:rsidRPr="00DC7E0E">
        <w:rPr>
          <w:sz w:val="28"/>
          <w:szCs w:val="28"/>
          <w:lang w:val="uk-UA"/>
        </w:rPr>
        <w:t>;</w:t>
      </w:r>
    </w:p>
    <w:p w:rsidR="00BC38F6" w:rsidRPr="00DC7E0E" w:rsidRDefault="00BC38F6" w:rsidP="008260BB">
      <w:pPr>
        <w:pStyle w:val="ab"/>
        <w:tabs>
          <w:tab w:val="left" w:pos="851"/>
        </w:tabs>
        <w:spacing w:after="0"/>
        <w:ind w:right="-5" w:firstLine="426"/>
        <w:jc w:val="both"/>
        <w:rPr>
          <w:rFonts w:eastAsia="MS Mincho"/>
          <w:bCs/>
          <w:sz w:val="28"/>
          <w:szCs w:val="28"/>
          <w:lang w:val="uk-UA"/>
        </w:rPr>
      </w:pPr>
      <w:r w:rsidRPr="00DC7E0E">
        <w:rPr>
          <w:sz w:val="28"/>
          <w:szCs w:val="28"/>
          <w:lang w:val="uk-UA"/>
        </w:rPr>
        <w:t xml:space="preserve">надходження до спеціального фонду коштів </w:t>
      </w:r>
      <w:r w:rsidRPr="00DC7E0E">
        <w:rPr>
          <w:rFonts w:eastAsia="MS Mincho"/>
          <w:bCs/>
          <w:sz w:val="28"/>
          <w:szCs w:val="28"/>
          <w:lang w:val="uk-UA"/>
        </w:rPr>
        <w:t xml:space="preserve">за рахунок повернення кредитів </w:t>
      </w:r>
      <w:r w:rsidR="00E26A4C" w:rsidRPr="00DC7E0E">
        <w:rPr>
          <w:rStyle w:val="rvts9"/>
          <w:sz w:val="28"/>
          <w:szCs w:val="28"/>
          <w:lang w:val="uk-UA"/>
        </w:rPr>
        <w:t xml:space="preserve">у 2022 році – 8 000,0 тис. </w:t>
      </w:r>
      <w:proofErr w:type="spellStart"/>
      <w:r w:rsidR="00E26A4C" w:rsidRPr="00DC7E0E">
        <w:rPr>
          <w:rStyle w:val="rvts9"/>
          <w:sz w:val="28"/>
          <w:szCs w:val="28"/>
          <w:lang w:val="uk-UA"/>
        </w:rPr>
        <w:t>грн</w:t>
      </w:r>
      <w:proofErr w:type="spellEnd"/>
      <w:r w:rsidR="00E26A4C" w:rsidRPr="00DC7E0E">
        <w:rPr>
          <w:rStyle w:val="rvts9"/>
          <w:sz w:val="28"/>
          <w:szCs w:val="28"/>
          <w:lang w:val="uk-UA"/>
        </w:rPr>
        <w:t xml:space="preserve">; у 2023 році – 10 000,0 тис. </w:t>
      </w:r>
      <w:proofErr w:type="spellStart"/>
      <w:r w:rsidR="00E26A4C" w:rsidRPr="00DC7E0E">
        <w:rPr>
          <w:rStyle w:val="rvts9"/>
          <w:sz w:val="28"/>
          <w:szCs w:val="28"/>
          <w:lang w:val="uk-UA"/>
        </w:rPr>
        <w:t>грн</w:t>
      </w:r>
      <w:proofErr w:type="spellEnd"/>
      <w:r w:rsidR="00E26A4C" w:rsidRPr="00DC7E0E">
        <w:rPr>
          <w:rStyle w:val="rvts9"/>
          <w:sz w:val="28"/>
          <w:szCs w:val="28"/>
          <w:lang w:val="uk-UA"/>
        </w:rPr>
        <w:t xml:space="preserve">; у 2024 році – 10 000,0 тис. </w:t>
      </w:r>
      <w:proofErr w:type="spellStart"/>
      <w:r w:rsidR="00E26A4C" w:rsidRPr="00DC7E0E">
        <w:rPr>
          <w:rStyle w:val="rvts9"/>
          <w:sz w:val="28"/>
          <w:szCs w:val="28"/>
          <w:lang w:val="uk-UA"/>
        </w:rPr>
        <w:t>грн</w:t>
      </w:r>
      <w:proofErr w:type="spellEnd"/>
      <w:r w:rsidR="00E26A4C" w:rsidRPr="00DC7E0E">
        <w:rPr>
          <w:sz w:val="28"/>
          <w:szCs w:val="28"/>
          <w:lang w:val="uk-UA"/>
        </w:rPr>
        <w:t xml:space="preserve"> </w:t>
      </w:r>
      <w:r w:rsidRPr="00DC7E0E">
        <w:rPr>
          <w:rFonts w:eastAsia="MS Mincho"/>
          <w:bCs/>
          <w:sz w:val="28"/>
          <w:szCs w:val="28"/>
          <w:lang w:val="uk-UA"/>
        </w:rPr>
        <w:t xml:space="preserve">та за рахунок відсотків за користування кредитами </w:t>
      </w:r>
      <w:r w:rsidR="00E26A4C" w:rsidRPr="00DC7E0E">
        <w:rPr>
          <w:rStyle w:val="rvts9"/>
          <w:sz w:val="28"/>
          <w:szCs w:val="28"/>
          <w:lang w:val="uk-UA"/>
        </w:rPr>
        <w:t xml:space="preserve">у 2022 році – 344,6 тис. </w:t>
      </w:r>
      <w:proofErr w:type="spellStart"/>
      <w:r w:rsidR="00E26A4C" w:rsidRPr="00DC7E0E">
        <w:rPr>
          <w:rStyle w:val="rvts9"/>
          <w:sz w:val="28"/>
          <w:szCs w:val="28"/>
          <w:lang w:val="uk-UA"/>
        </w:rPr>
        <w:t>грн</w:t>
      </w:r>
      <w:proofErr w:type="spellEnd"/>
      <w:r w:rsidR="00E26A4C" w:rsidRPr="00DC7E0E">
        <w:rPr>
          <w:rStyle w:val="rvts9"/>
          <w:sz w:val="28"/>
          <w:szCs w:val="28"/>
          <w:lang w:val="uk-UA"/>
        </w:rPr>
        <w:t xml:space="preserve">; у 2023 році – 359,5 тис. </w:t>
      </w:r>
      <w:proofErr w:type="spellStart"/>
      <w:r w:rsidR="00E26A4C" w:rsidRPr="00DC7E0E">
        <w:rPr>
          <w:rStyle w:val="rvts9"/>
          <w:sz w:val="28"/>
          <w:szCs w:val="28"/>
          <w:lang w:val="uk-UA"/>
        </w:rPr>
        <w:t>грн</w:t>
      </w:r>
      <w:proofErr w:type="spellEnd"/>
      <w:r w:rsidR="00E26A4C" w:rsidRPr="00DC7E0E">
        <w:rPr>
          <w:rStyle w:val="rvts9"/>
          <w:sz w:val="28"/>
          <w:szCs w:val="28"/>
          <w:lang w:val="uk-UA"/>
        </w:rPr>
        <w:t>; у 2024 році – 374,8 тис. грн</w:t>
      </w:r>
      <w:r w:rsidR="008260BB" w:rsidRPr="00DC7E0E">
        <w:rPr>
          <w:rFonts w:eastAsia="MS Mincho"/>
          <w:bCs/>
          <w:sz w:val="28"/>
          <w:szCs w:val="28"/>
          <w:lang w:val="uk-UA"/>
        </w:rPr>
        <w:t>.</w:t>
      </w:r>
    </w:p>
    <w:p w:rsidR="00852F21" w:rsidRPr="00DC7E0E" w:rsidRDefault="00852F21" w:rsidP="00852F21">
      <w:pPr>
        <w:pStyle w:val="Default"/>
        <w:tabs>
          <w:tab w:val="left" w:pos="851"/>
        </w:tabs>
        <w:ind w:firstLine="567"/>
        <w:jc w:val="both"/>
        <w:rPr>
          <w:sz w:val="28"/>
          <w:szCs w:val="28"/>
        </w:rPr>
      </w:pPr>
      <w:r w:rsidRPr="00DC7E0E">
        <w:rPr>
          <w:sz w:val="28"/>
          <w:szCs w:val="28"/>
        </w:rPr>
        <w:lastRenderedPageBreak/>
        <w:t>На виконання вимог статті 17 Бюджетного кодексу України передбачені кошти для забезпечення виконання гарантійних зобов’язань територіальною громадою міста за кредитами, отриманими під місцеву гарантію комунальним підприємством Миколаївської міської ради «</w:t>
      </w:r>
      <w:proofErr w:type="spellStart"/>
      <w:r w:rsidRPr="00DC7E0E">
        <w:rPr>
          <w:sz w:val="28"/>
          <w:szCs w:val="28"/>
        </w:rPr>
        <w:t>Миколаївелектротранс</w:t>
      </w:r>
      <w:proofErr w:type="spellEnd"/>
      <w:r w:rsidRPr="00DC7E0E">
        <w:rPr>
          <w:sz w:val="28"/>
          <w:szCs w:val="28"/>
        </w:rPr>
        <w:t xml:space="preserve">» на реалізацію інвестиційного </w:t>
      </w:r>
      <w:proofErr w:type="spellStart"/>
      <w:r w:rsidRPr="00DC7E0E">
        <w:rPr>
          <w:sz w:val="28"/>
          <w:szCs w:val="28"/>
        </w:rPr>
        <w:t>проєкту</w:t>
      </w:r>
      <w:proofErr w:type="spellEnd"/>
      <w:r w:rsidRPr="00DC7E0E">
        <w:rPr>
          <w:sz w:val="28"/>
          <w:szCs w:val="28"/>
        </w:rPr>
        <w:t xml:space="preserve"> «Покращання інфраструктури громадського транспорту міста Миколаєва та оновлення тролейбусного парку» та міським комунальним підприємством «</w:t>
      </w:r>
      <w:proofErr w:type="spellStart"/>
      <w:r w:rsidRPr="00DC7E0E">
        <w:rPr>
          <w:sz w:val="28"/>
          <w:szCs w:val="28"/>
        </w:rPr>
        <w:t>Миколаївводоканал</w:t>
      </w:r>
      <w:proofErr w:type="spellEnd"/>
      <w:r w:rsidRPr="00DC7E0E">
        <w:rPr>
          <w:sz w:val="28"/>
          <w:szCs w:val="28"/>
        </w:rPr>
        <w:t xml:space="preserve">» на реалізацію інвестиційного </w:t>
      </w:r>
      <w:proofErr w:type="spellStart"/>
      <w:r w:rsidRPr="00DC7E0E">
        <w:rPr>
          <w:sz w:val="28"/>
          <w:szCs w:val="28"/>
        </w:rPr>
        <w:t>підпроєкту</w:t>
      </w:r>
      <w:proofErr w:type="spellEnd"/>
      <w:r w:rsidRPr="00DC7E0E">
        <w:rPr>
          <w:sz w:val="28"/>
          <w:szCs w:val="28"/>
        </w:rPr>
        <w:t xml:space="preserve"> «Розвиток системи водопостачання та водовідведення в місті Миколаїв», в обсягах, що не менше 50 % сум річних платежів за кредитною угодою.</w:t>
      </w:r>
    </w:p>
    <w:p w:rsidR="004455F2" w:rsidRPr="00DC7E0E" w:rsidRDefault="004455F2" w:rsidP="00F96494">
      <w:pPr>
        <w:shd w:val="clear" w:color="auto" w:fill="FFFFFF"/>
        <w:tabs>
          <w:tab w:val="left" w:pos="993"/>
        </w:tabs>
        <w:ind w:firstLine="709"/>
        <w:jc w:val="both"/>
        <w:rPr>
          <w:rStyle w:val="rvts9"/>
          <w:sz w:val="28"/>
          <w:szCs w:val="28"/>
          <w:lang w:val="uk-UA"/>
        </w:rPr>
      </w:pPr>
    </w:p>
    <w:p w:rsidR="00EB27EF" w:rsidRPr="00355B60" w:rsidRDefault="007B7666" w:rsidP="00621CEE">
      <w:pPr>
        <w:shd w:val="clear" w:color="auto" w:fill="FFFFFF"/>
        <w:tabs>
          <w:tab w:val="left" w:pos="993"/>
        </w:tabs>
        <w:jc w:val="center"/>
        <w:rPr>
          <w:rStyle w:val="rvts9"/>
          <w:b/>
          <w:sz w:val="28"/>
          <w:szCs w:val="28"/>
          <w:lang w:val="uk-UA"/>
        </w:rPr>
      </w:pPr>
      <w:r w:rsidRPr="00355B60">
        <w:rPr>
          <w:rStyle w:val="rvts9"/>
          <w:b/>
          <w:sz w:val="28"/>
          <w:szCs w:val="28"/>
          <w:lang w:val="uk-UA"/>
        </w:rPr>
        <w:t>Фінансування</w:t>
      </w:r>
    </w:p>
    <w:p w:rsidR="00621CEE" w:rsidRPr="00621CEE" w:rsidRDefault="00621CEE" w:rsidP="00621CEE">
      <w:pPr>
        <w:pStyle w:val="a7"/>
        <w:tabs>
          <w:tab w:val="left" w:pos="567"/>
        </w:tabs>
        <w:ind w:left="0" w:firstLine="567"/>
        <w:jc w:val="both"/>
        <w:rPr>
          <w:sz w:val="28"/>
          <w:szCs w:val="28"/>
          <w:lang w:val="uk-UA"/>
        </w:rPr>
      </w:pPr>
      <w:r w:rsidRPr="00621CEE">
        <w:rPr>
          <w:sz w:val="28"/>
          <w:szCs w:val="28"/>
          <w:lang w:val="uk-UA"/>
        </w:rPr>
        <w:t>При складанні прогнозу бюджету забезпечено збалансованість дохідної та витратної частин, у тому числі з урахуванням коштів, що передаються із загального фонду до бюджету розвитку (спеціальний фонд), здійснення місцевих запозичень та забезпечення виконання боргових зобов’язань.</w:t>
      </w:r>
    </w:p>
    <w:p w:rsidR="008007BA" w:rsidRPr="008007BA" w:rsidRDefault="00AE5DFD" w:rsidP="00621CEE">
      <w:pPr>
        <w:tabs>
          <w:tab w:val="left" w:pos="4253"/>
        </w:tabs>
        <w:ind w:firstLine="567"/>
        <w:jc w:val="both"/>
        <w:rPr>
          <w:sz w:val="28"/>
          <w:szCs w:val="28"/>
          <w:lang w:val="uk-UA"/>
        </w:rPr>
      </w:pPr>
      <w:r w:rsidRPr="00BD338B">
        <w:rPr>
          <w:sz w:val="28"/>
          <w:szCs w:val="28"/>
          <w:lang w:val="uk-UA"/>
        </w:rPr>
        <w:t>За спеціальним фондом бюджету Миколаївської міської територіальної громади планується залучення кредитних коштів у рамках здійснених місцевих запозичень</w:t>
      </w:r>
      <w:r w:rsidR="00621CEE" w:rsidRPr="00BD338B">
        <w:rPr>
          <w:sz w:val="28"/>
          <w:szCs w:val="28"/>
          <w:lang w:val="uk-UA"/>
        </w:rPr>
        <w:t xml:space="preserve">. </w:t>
      </w:r>
      <w:r w:rsidR="008007BA" w:rsidRPr="00BD338B">
        <w:rPr>
          <w:sz w:val="28"/>
          <w:szCs w:val="28"/>
          <w:lang w:val="uk-UA"/>
        </w:rPr>
        <w:t xml:space="preserve">Прогноз бюджету міста передбачає надходження у 2022 році кредитних коштів Публічного акціонерного товариства «Банк </w:t>
      </w:r>
      <w:proofErr w:type="spellStart"/>
      <w:r w:rsidR="008007BA" w:rsidRPr="00BD338B">
        <w:rPr>
          <w:sz w:val="28"/>
          <w:szCs w:val="28"/>
          <w:lang w:val="uk-UA"/>
        </w:rPr>
        <w:t>Восток</w:t>
      </w:r>
      <w:proofErr w:type="spellEnd"/>
      <w:r w:rsidR="008007BA" w:rsidRPr="00BD338B">
        <w:rPr>
          <w:sz w:val="28"/>
          <w:szCs w:val="28"/>
          <w:lang w:val="uk-UA"/>
        </w:rPr>
        <w:t xml:space="preserve">» в обсязі 100,0 </w:t>
      </w:r>
      <w:proofErr w:type="spellStart"/>
      <w:r w:rsidR="008007BA" w:rsidRPr="00BD338B">
        <w:rPr>
          <w:sz w:val="28"/>
          <w:szCs w:val="28"/>
          <w:lang w:val="uk-UA"/>
        </w:rPr>
        <w:t>млн</w:t>
      </w:r>
      <w:proofErr w:type="spellEnd"/>
      <w:r w:rsidR="008007BA" w:rsidRPr="00BD338B">
        <w:rPr>
          <w:sz w:val="28"/>
          <w:szCs w:val="28"/>
          <w:lang w:val="uk-UA"/>
        </w:rPr>
        <w:t xml:space="preserve"> </w:t>
      </w:r>
      <w:proofErr w:type="spellStart"/>
      <w:r w:rsidR="008007BA" w:rsidRPr="00BD338B">
        <w:rPr>
          <w:sz w:val="28"/>
          <w:szCs w:val="28"/>
          <w:lang w:val="uk-UA"/>
        </w:rPr>
        <w:t>грн</w:t>
      </w:r>
      <w:proofErr w:type="spellEnd"/>
      <w:r w:rsidR="008007BA" w:rsidRPr="00BD338B">
        <w:rPr>
          <w:sz w:val="28"/>
          <w:szCs w:val="28"/>
          <w:lang w:val="uk-UA"/>
        </w:rPr>
        <w:t xml:space="preserve"> та другого і третього траншів кредитних коштів на виконання </w:t>
      </w:r>
      <w:proofErr w:type="spellStart"/>
      <w:r w:rsidR="008007BA" w:rsidRPr="00BD338B">
        <w:rPr>
          <w:sz w:val="28"/>
          <w:szCs w:val="28"/>
          <w:lang w:val="uk-UA"/>
        </w:rPr>
        <w:t>проєкту</w:t>
      </w:r>
      <w:proofErr w:type="spellEnd"/>
      <w:r w:rsidR="008007BA" w:rsidRPr="00BD338B">
        <w:rPr>
          <w:sz w:val="28"/>
          <w:szCs w:val="28"/>
          <w:lang w:val="uk-UA"/>
        </w:rPr>
        <w:t xml:space="preserve"> «Покращання інфраструктури громадського транспорту міста Миколаєва» у 2022 році в обсязі 540,0 тис. євро або 19</w:t>
      </w:r>
      <w:r w:rsidR="00A411C8">
        <w:rPr>
          <w:sz w:val="28"/>
          <w:szCs w:val="28"/>
          <w:lang w:val="uk-UA"/>
        </w:rPr>
        <w:t xml:space="preserve"> </w:t>
      </w:r>
      <w:r w:rsidR="008007BA" w:rsidRPr="00BD338B">
        <w:rPr>
          <w:sz w:val="28"/>
          <w:szCs w:val="28"/>
          <w:lang w:val="uk-UA"/>
        </w:rPr>
        <w:t xml:space="preserve">980,0 тис. </w:t>
      </w:r>
      <w:proofErr w:type="spellStart"/>
      <w:r w:rsidR="008007BA" w:rsidRPr="00BD338B">
        <w:rPr>
          <w:sz w:val="28"/>
          <w:szCs w:val="28"/>
          <w:lang w:val="uk-UA"/>
        </w:rPr>
        <w:t>грн</w:t>
      </w:r>
      <w:proofErr w:type="spellEnd"/>
      <w:r w:rsidR="008007BA" w:rsidRPr="00BD338B">
        <w:rPr>
          <w:sz w:val="28"/>
          <w:szCs w:val="28"/>
          <w:lang w:val="uk-UA"/>
        </w:rPr>
        <w:t xml:space="preserve"> та у 2024 році в обсязі 225,0 тис. євро або 8</w:t>
      </w:r>
      <w:r w:rsidR="00A411C8">
        <w:rPr>
          <w:sz w:val="28"/>
          <w:szCs w:val="28"/>
          <w:lang w:val="uk-UA"/>
        </w:rPr>
        <w:t xml:space="preserve"> </w:t>
      </w:r>
      <w:r w:rsidR="008007BA" w:rsidRPr="00BD338B">
        <w:rPr>
          <w:sz w:val="28"/>
          <w:szCs w:val="28"/>
          <w:lang w:val="uk-UA"/>
        </w:rPr>
        <w:t>775,0 тис. грн.</w:t>
      </w:r>
    </w:p>
    <w:p w:rsidR="00AE5DFD" w:rsidRPr="00E51785" w:rsidRDefault="00AE5DFD" w:rsidP="002F6335">
      <w:pPr>
        <w:tabs>
          <w:tab w:val="left" w:pos="4253"/>
        </w:tabs>
        <w:ind w:firstLine="567"/>
        <w:jc w:val="both"/>
        <w:rPr>
          <w:sz w:val="28"/>
          <w:szCs w:val="28"/>
          <w:lang w:val="uk-UA"/>
        </w:rPr>
      </w:pPr>
      <w:r w:rsidRPr="00E51785">
        <w:rPr>
          <w:sz w:val="28"/>
          <w:szCs w:val="28"/>
          <w:lang w:val="uk-UA"/>
        </w:rPr>
        <w:t xml:space="preserve">Із загального фонду бюджету Миколаївської міської територіальної громади до бюджету розвитку (спеціального фонду) заплановано передачу коштів </w:t>
      </w:r>
      <w:r w:rsidR="00EC2671" w:rsidRPr="00E51785">
        <w:rPr>
          <w:sz w:val="28"/>
          <w:szCs w:val="28"/>
          <w:lang w:val="uk-UA" w:eastAsia="zh-CN"/>
        </w:rPr>
        <w:t xml:space="preserve">у 2022 році в обсязі </w:t>
      </w:r>
      <w:r w:rsidR="009D1712" w:rsidRPr="00E51785">
        <w:rPr>
          <w:sz w:val="28"/>
          <w:szCs w:val="28"/>
          <w:lang w:val="uk-UA" w:eastAsia="zh-CN"/>
        </w:rPr>
        <w:t>667 159,0</w:t>
      </w:r>
      <w:r w:rsidR="00EC2671" w:rsidRPr="00E51785">
        <w:rPr>
          <w:sz w:val="28"/>
          <w:szCs w:val="28"/>
          <w:lang w:val="uk-UA" w:eastAsia="zh-CN"/>
        </w:rPr>
        <w:t xml:space="preserve"> тис. </w:t>
      </w:r>
      <w:proofErr w:type="spellStart"/>
      <w:r w:rsidR="00EC2671" w:rsidRPr="00E51785">
        <w:rPr>
          <w:sz w:val="28"/>
          <w:szCs w:val="28"/>
          <w:lang w:val="uk-UA" w:eastAsia="zh-CN"/>
        </w:rPr>
        <w:t>грн</w:t>
      </w:r>
      <w:proofErr w:type="spellEnd"/>
      <w:r w:rsidR="00EC2671" w:rsidRPr="00E51785">
        <w:rPr>
          <w:sz w:val="28"/>
          <w:szCs w:val="28"/>
          <w:lang w:val="uk-UA" w:eastAsia="zh-CN"/>
        </w:rPr>
        <w:t xml:space="preserve">, у 2023 – </w:t>
      </w:r>
      <w:r w:rsidR="009D1712" w:rsidRPr="00E51785">
        <w:rPr>
          <w:sz w:val="28"/>
          <w:szCs w:val="28"/>
          <w:lang w:val="uk-UA" w:eastAsia="zh-CN"/>
        </w:rPr>
        <w:t>856 610,9</w:t>
      </w:r>
      <w:r w:rsidR="00EC2671" w:rsidRPr="00E51785">
        <w:rPr>
          <w:sz w:val="28"/>
          <w:szCs w:val="28"/>
          <w:lang w:val="uk-UA" w:eastAsia="zh-CN"/>
        </w:rPr>
        <w:t xml:space="preserve"> тис. </w:t>
      </w:r>
      <w:proofErr w:type="spellStart"/>
      <w:r w:rsidR="00EC2671" w:rsidRPr="00E51785">
        <w:rPr>
          <w:sz w:val="28"/>
          <w:szCs w:val="28"/>
          <w:lang w:val="uk-UA" w:eastAsia="zh-CN"/>
        </w:rPr>
        <w:t>грн</w:t>
      </w:r>
      <w:proofErr w:type="spellEnd"/>
      <w:r w:rsidR="00EC2671" w:rsidRPr="00E51785">
        <w:rPr>
          <w:sz w:val="28"/>
          <w:szCs w:val="28"/>
          <w:lang w:val="uk-UA" w:eastAsia="zh-CN"/>
        </w:rPr>
        <w:t xml:space="preserve">, у 2024 – </w:t>
      </w:r>
      <w:r w:rsidR="009D1712" w:rsidRPr="00E51785">
        <w:rPr>
          <w:sz w:val="28"/>
          <w:szCs w:val="28"/>
          <w:lang w:val="uk-UA" w:eastAsia="zh-CN"/>
        </w:rPr>
        <w:t>905 103,3</w:t>
      </w:r>
      <w:r w:rsidR="00EC2671" w:rsidRPr="00E51785">
        <w:rPr>
          <w:sz w:val="28"/>
          <w:szCs w:val="28"/>
          <w:lang w:val="uk-UA" w:eastAsia="zh-CN"/>
        </w:rPr>
        <w:t xml:space="preserve"> тис. </w:t>
      </w:r>
      <w:proofErr w:type="spellStart"/>
      <w:r w:rsidR="00EC2671" w:rsidRPr="00E51785">
        <w:rPr>
          <w:sz w:val="28"/>
          <w:szCs w:val="28"/>
          <w:lang w:val="uk-UA" w:eastAsia="zh-CN"/>
        </w:rPr>
        <w:t>грн</w:t>
      </w:r>
      <w:proofErr w:type="spellEnd"/>
      <w:r w:rsidRPr="00E51785">
        <w:rPr>
          <w:sz w:val="28"/>
          <w:szCs w:val="28"/>
          <w:lang w:val="uk-UA"/>
        </w:rPr>
        <w:t>, які планується направити на:</w:t>
      </w:r>
    </w:p>
    <w:p w:rsidR="00AE5DFD" w:rsidRPr="00E51785" w:rsidRDefault="00AE5DFD" w:rsidP="008E6AF0">
      <w:pPr>
        <w:pStyle w:val="a7"/>
        <w:numPr>
          <w:ilvl w:val="0"/>
          <w:numId w:val="20"/>
        </w:numPr>
        <w:tabs>
          <w:tab w:val="left" w:pos="851"/>
          <w:tab w:val="left" w:pos="4253"/>
        </w:tabs>
        <w:ind w:left="0" w:firstLine="567"/>
        <w:jc w:val="both"/>
        <w:rPr>
          <w:sz w:val="28"/>
          <w:szCs w:val="28"/>
          <w:lang w:val="uk-UA" w:eastAsia="zh-CN"/>
        </w:rPr>
      </w:pPr>
      <w:r w:rsidRPr="00583947">
        <w:rPr>
          <w:sz w:val="28"/>
          <w:szCs w:val="28"/>
          <w:lang w:val="uk-UA" w:eastAsia="zh-CN"/>
        </w:rPr>
        <w:t>видатки</w:t>
      </w:r>
      <w:r w:rsidR="00583947" w:rsidRPr="00583947">
        <w:rPr>
          <w:sz w:val="28"/>
          <w:szCs w:val="28"/>
          <w:lang w:val="uk-UA" w:eastAsia="zh-CN"/>
        </w:rPr>
        <w:t xml:space="preserve"> розвитку</w:t>
      </w:r>
      <w:r w:rsidRPr="00E51785">
        <w:rPr>
          <w:sz w:val="28"/>
          <w:szCs w:val="28"/>
          <w:lang w:val="uk-UA" w:eastAsia="zh-CN"/>
        </w:rPr>
        <w:t xml:space="preserve"> </w:t>
      </w:r>
      <w:r w:rsidR="002F6335" w:rsidRPr="00E51785">
        <w:rPr>
          <w:sz w:val="28"/>
          <w:szCs w:val="28"/>
          <w:lang w:val="uk-UA" w:eastAsia="zh-CN"/>
        </w:rPr>
        <w:t xml:space="preserve">у 2022 році в обсязі </w:t>
      </w:r>
      <w:r w:rsidR="00A411C8">
        <w:rPr>
          <w:sz w:val="28"/>
          <w:szCs w:val="28"/>
          <w:lang w:val="uk-UA" w:eastAsia="zh-CN"/>
        </w:rPr>
        <w:t>570 178,9</w:t>
      </w:r>
      <w:r w:rsidR="002F6335" w:rsidRPr="00E51785">
        <w:rPr>
          <w:sz w:val="28"/>
          <w:szCs w:val="28"/>
          <w:lang w:val="uk-UA" w:eastAsia="zh-CN"/>
        </w:rPr>
        <w:t xml:space="preserve"> тис. </w:t>
      </w:r>
      <w:proofErr w:type="spellStart"/>
      <w:r w:rsidR="002F6335" w:rsidRPr="00E51785">
        <w:rPr>
          <w:sz w:val="28"/>
          <w:szCs w:val="28"/>
          <w:lang w:val="uk-UA" w:eastAsia="zh-CN"/>
        </w:rPr>
        <w:t>грн</w:t>
      </w:r>
      <w:proofErr w:type="spellEnd"/>
      <w:r w:rsidR="002F6335" w:rsidRPr="00E51785">
        <w:rPr>
          <w:sz w:val="28"/>
          <w:szCs w:val="28"/>
          <w:lang w:val="uk-UA" w:eastAsia="zh-CN"/>
        </w:rPr>
        <w:t xml:space="preserve">, у 2023 – </w:t>
      </w:r>
      <w:r w:rsidR="00A411C8">
        <w:rPr>
          <w:sz w:val="28"/>
          <w:szCs w:val="28"/>
          <w:lang w:val="uk-UA" w:eastAsia="zh-CN"/>
        </w:rPr>
        <w:t>756 817,1</w:t>
      </w:r>
      <w:r w:rsidR="002F6335" w:rsidRPr="00E51785">
        <w:rPr>
          <w:sz w:val="28"/>
          <w:szCs w:val="28"/>
          <w:lang w:val="uk-UA" w:eastAsia="zh-CN"/>
        </w:rPr>
        <w:t xml:space="preserve"> тис. </w:t>
      </w:r>
      <w:proofErr w:type="spellStart"/>
      <w:r w:rsidR="002F6335" w:rsidRPr="00E51785">
        <w:rPr>
          <w:sz w:val="28"/>
          <w:szCs w:val="28"/>
          <w:lang w:val="uk-UA" w:eastAsia="zh-CN"/>
        </w:rPr>
        <w:t>грн</w:t>
      </w:r>
      <w:proofErr w:type="spellEnd"/>
      <w:r w:rsidR="002F6335" w:rsidRPr="00E51785">
        <w:rPr>
          <w:sz w:val="28"/>
          <w:szCs w:val="28"/>
          <w:lang w:val="uk-UA" w:eastAsia="zh-CN"/>
        </w:rPr>
        <w:t xml:space="preserve">, у 2024 – </w:t>
      </w:r>
      <w:r w:rsidR="00C8776F">
        <w:rPr>
          <w:sz w:val="28"/>
          <w:szCs w:val="28"/>
          <w:lang w:val="uk-UA" w:eastAsia="zh-CN"/>
        </w:rPr>
        <w:t>758 845,7</w:t>
      </w:r>
      <w:r w:rsidR="002F6335" w:rsidRPr="00E51785">
        <w:rPr>
          <w:sz w:val="28"/>
          <w:szCs w:val="28"/>
          <w:lang w:val="uk-UA" w:eastAsia="zh-CN"/>
        </w:rPr>
        <w:t xml:space="preserve"> тис. </w:t>
      </w:r>
      <w:proofErr w:type="spellStart"/>
      <w:r w:rsidR="002F6335" w:rsidRPr="00E51785">
        <w:rPr>
          <w:sz w:val="28"/>
          <w:szCs w:val="28"/>
          <w:lang w:val="uk-UA" w:eastAsia="zh-CN"/>
        </w:rPr>
        <w:t>грн</w:t>
      </w:r>
      <w:proofErr w:type="spellEnd"/>
      <w:r w:rsidRPr="00E51785">
        <w:rPr>
          <w:sz w:val="28"/>
          <w:szCs w:val="28"/>
          <w:lang w:val="uk-UA" w:eastAsia="zh-CN"/>
        </w:rPr>
        <w:t>;</w:t>
      </w:r>
    </w:p>
    <w:p w:rsidR="00AE5DFD" w:rsidRPr="00E51785" w:rsidRDefault="00AE5DFD" w:rsidP="008E6AF0">
      <w:pPr>
        <w:pStyle w:val="a7"/>
        <w:numPr>
          <w:ilvl w:val="0"/>
          <w:numId w:val="20"/>
        </w:numPr>
        <w:tabs>
          <w:tab w:val="left" w:pos="851"/>
          <w:tab w:val="left" w:pos="1276"/>
        </w:tabs>
        <w:ind w:left="0" w:firstLine="567"/>
        <w:jc w:val="both"/>
        <w:rPr>
          <w:sz w:val="28"/>
          <w:szCs w:val="28"/>
          <w:lang w:val="uk-UA" w:eastAsia="zh-CN"/>
        </w:rPr>
      </w:pPr>
      <w:r w:rsidRPr="00E51785">
        <w:rPr>
          <w:sz w:val="28"/>
          <w:szCs w:val="28"/>
          <w:lang w:val="uk-UA" w:eastAsia="zh-CN"/>
        </w:rPr>
        <w:t>платежі, пов'язані з виконанням гарантійних зобов'язань за позичальників, що отримали кредити під місцеві гарантії</w:t>
      </w:r>
      <w:r w:rsidR="00BD338B" w:rsidRPr="00E51785">
        <w:rPr>
          <w:sz w:val="28"/>
          <w:szCs w:val="28"/>
          <w:lang w:val="uk-UA" w:eastAsia="zh-CN"/>
        </w:rPr>
        <w:t xml:space="preserve">, </w:t>
      </w:r>
      <w:r w:rsidR="00EB0B5A" w:rsidRPr="00E51785">
        <w:rPr>
          <w:rStyle w:val="rvts9"/>
          <w:sz w:val="28"/>
          <w:szCs w:val="28"/>
          <w:lang w:val="uk-UA"/>
        </w:rPr>
        <w:t xml:space="preserve">у 2022 році </w:t>
      </w:r>
      <w:r w:rsidR="00EC2671" w:rsidRPr="00E51785">
        <w:rPr>
          <w:rStyle w:val="rvts9"/>
          <w:sz w:val="28"/>
          <w:szCs w:val="28"/>
          <w:lang w:val="uk-UA"/>
        </w:rPr>
        <w:t>в обсязі</w:t>
      </w:r>
      <w:r w:rsidR="00EB0B5A" w:rsidRPr="00E51785">
        <w:rPr>
          <w:rStyle w:val="rvts9"/>
          <w:sz w:val="28"/>
          <w:szCs w:val="28"/>
          <w:lang w:val="uk-UA"/>
        </w:rPr>
        <w:t xml:space="preserve"> </w:t>
      </w:r>
      <w:r w:rsidR="00EC2671" w:rsidRPr="00E51785">
        <w:rPr>
          <w:rStyle w:val="rvts9"/>
          <w:sz w:val="28"/>
          <w:szCs w:val="28"/>
          <w:lang w:val="uk-UA"/>
        </w:rPr>
        <w:t>37</w:t>
      </w:r>
      <w:r w:rsidR="00EB0B5A" w:rsidRPr="00E51785">
        <w:rPr>
          <w:rStyle w:val="rvts9"/>
          <w:sz w:val="28"/>
          <w:szCs w:val="28"/>
          <w:lang w:val="uk-UA"/>
        </w:rPr>
        <w:t> </w:t>
      </w:r>
      <w:r w:rsidR="00EC2671" w:rsidRPr="00E51785">
        <w:rPr>
          <w:rStyle w:val="rvts9"/>
          <w:sz w:val="28"/>
          <w:szCs w:val="28"/>
          <w:lang w:val="uk-UA"/>
        </w:rPr>
        <w:t>896</w:t>
      </w:r>
      <w:r w:rsidR="00EB0B5A" w:rsidRPr="00E51785">
        <w:rPr>
          <w:rStyle w:val="rvts9"/>
          <w:sz w:val="28"/>
          <w:szCs w:val="28"/>
          <w:lang w:val="uk-UA"/>
        </w:rPr>
        <w:t>,</w:t>
      </w:r>
      <w:r w:rsidR="00EC2671" w:rsidRPr="00E51785">
        <w:rPr>
          <w:rStyle w:val="rvts9"/>
          <w:sz w:val="28"/>
          <w:szCs w:val="28"/>
          <w:lang w:val="uk-UA"/>
        </w:rPr>
        <w:t>5</w:t>
      </w:r>
      <w:r w:rsidR="00EB0B5A" w:rsidRPr="00E51785">
        <w:rPr>
          <w:rStyle w:val="rvts9"/>
          <w:sz w:val="28"/>
          <w:szCs w:val="28"/>
          <w:lang w:val="uk-UA"/>
        </w:rPr>
        <w:t xml:space="preserve"> тис. </w:t>
      </w:r>
      <w:proofErr w:type="spellStart"/>
      <w:r w:rsidR="00EB0B5A" w:rsidRPr="00E51785">
        <w:rPr>
          <w:rStyle w:val="rvts9"/>
          <w:sz w:val="28"/>
          <w:szCs w:val="28"/>
          <w:lang w:val="uk-UA"/>
        </w:rPr>
        <w:t>грн</w:t>
      </w:r>
      <w:proofErr w:type="spellEnd"/>
      <w:r w:rsidR="00EB0B5A" w:rsidRPr="00E51785">
        <w:rPr>
          <w:rStyle w:val="rvts9"/>
          <w:sz w:val="28"/>
          <w:szCs w:val="28"/>
          <w:lang w:val="uk-UA"/>
        </w:rPr>
        <w:t xml:space="preserve">; у 2023 році – </w:t>
      </w:r>
      <w:r w:rsidR="00EC2671" w:rsidRPr="00E51785">
        <w:rPr>
          <w:rStyle w:val="rvts9"/>
          <w:sz w:val="28"/>
          <w:szCs w:val="28"/>
          <w:lang w:val="uk-UA"/>
        </w:rPr>
        <w:t>40</w:t>
      </w:r>
      <w:r w:rsidR="00EB0B5A" w:rsidRPr="00E51785">
        <w:rPr>
          <w:rStyle w:val="rvts9"/>
          <w:sz w:val="28"/>
          <w:szCs w:val="28"/>
          <w:lang w:val="uk-UA"/>
        </w:rPr>
        <w:t> </w:t>
      </w:r>
      <w:r w:rsidR="00EC2671" w:rsidRPr="00E51785">
        <w:rPr>
          <w:rStyle w:val="rvts9"/>
          <w:sz w:val="28"/>
          <w:szCs w:val="28"/>
          <w:lang w:val="uk-UA"/>
        </w:rPr>
        <w:t>126</w:t>
      </w:r>
      <w:r w:rsidR="00EB0B5A" w:rsidRPr="00E51785">
        <w:rPr>
          <w:rStyle w:val="rvts9"/>
          <w:sz w:val="28"/>
          <w:szCs w:val="28"/>
          <w:lang w:val="uk-UA"/>
        </w:rPr>
        <w:t>,</w:t>
      </w:r>
      <w:r w:rsidR="00EC2671" w:rsidRPr="00E51785">
        <w:rPr>
          <w:rStyle w:val="rvts9"/>
          <w:sz w:val="28"/>
          <w:szCs w:val="28"/>
          <w:lang w:val="uk-UA"/>
        </w:rPr>
        <w:t>9</w:t>
      </w:r>
      <w:r w:rsidR="00EB0B5A" w:rsidRPr="00E51785">
        <w:rPr>
          <w:rStyle w:val="rvts9"/>
          <w:sz w:val="28"/>
          <w:szCs w:val="28"/>
          <w:lang w:val="uk-UA"/>
        </w:rPr>
        <w:t xml:space="preserve"> тис. </w:t>
      </w:r>
      <w:proofErr w:type="spellStart"/>
      <w:r w:rsidR="00EB0B5A" w:rsidRPr="00E51785">
        <w:rPr>
          <w:rStyle w:val="rvts9"/>
          <w:sz w:val="28"/>
          <w:szCs w:val="28"/>
          <w:lang w:val="uk-UA"/>
        </w:rPr>
        <w:t>грн</w:t>
      </w:r>
      <w:proofErr w:type="spellEnd"/>
      <w:r w:rsidR="00EB0B5A" w:rsidRPr="00E51785">
        <w:rPr>
          <w:rStyle w:val="rvts9"/>
          <w:sz w:val="28"/>
          <w:szCs w:val="28"/>
          <w:lang w:val="uk-UA"/>
        </w:rPr>
        <w:t xml:space="preserve">; у 2024 році – </w:t>
      </w:r>
      <w:r w:rsidR="00EC2671" w:rsidRPr="00E51785">
        <w:rPr>
          <w:rStyle w:val="rvts9"/>
          <w:sz w:val="28"/>
          <w:szCs w:val="28"/>
          <w:lang w:val="uk-UA"/>
        </w:rPr>
        <w:t xml:space="preserve">86 007,3 </w:t>
      </w:r>
      <w:r w:rsidR="00EB0B5A" w:rsidRPr="00E51785">
        <w:rPr>
          <w:rStyle w:val="rvts9"/>
          <w:sz w:val="28"/>
          <w:szCs w:val="28"/>
          <w:lang w:val="uk-UA"/>
        </w:rPr>
        <w:t xml:space="preserve">тис. </w:t>
      </w:r>
      <w:proofErr w:type="spellStart"/>
      <w:r w:rsidR="00EB0B5A" w:rsidRPr="00E51785">
        <w:rPr>
          <w:rStyle w:val="rvts9"/>
          <w:sz w:val="28"/>
          <w:szCs w:val="28"/>
          <w:lang w:val="uk-UA"/>
        </w:rPr>
        <w:t>грн</w:t>
      </w:r>
      <w:proofErr w:type="spellEnd"/>
      <w:r w:rsidRPr="00E51785">
        <w:rPr>
          <w:sz w:val="28"/>
          <w:szCs w:val="28"/>
          <w:lang w:val="uk-UA" w:eastAsia="zh-CN"/>
        </w:rPr>
        <w:t>;</w:t>
      </w:r>
    </w:p>
    <w:p w:rsidR="00AE5DFD" w:rsidRPr="00E51785" w:rsidRDefault="00AE5DFD" w:rsidP="008E6AF0">
      <w:pPr>
        <w:pStyle w:val="a7"/>
        <w:numPr>
          <w:ilvl w:val="0"/>
          <w:numId w:val="20"/>
        </w:numPr>
        <w:tabs>
          <w:tab w:val="left" w:pos="851"/>
          <w:tab w:val="left" w:pos="1276"/>
        </w:tabs>
        <w:ind w:left="0" w:firstLine="567"/>
        <w:jc w:val="both"/>
        <w:rPr>
          <w:sz w:val="28"/>
          <w:szCs w:val="28"/>
          <w:lang w:val="uk-UA" w:eastAsia="zh-CN"/>
        </w:rPr>
      </w:pPr>
      <w:r w:rsidRPr="00E51785">
        <w:rPr>
          <w:sz w:val="28"/>
          <w:szCs w:val="28"/>
          <w:lang w:val="uk-UA" w:eastAsia="zh-CN"/>
        </w:rPr>
        <w:t xml:space="preserve">погашення місцевого боргу </w:t>
      </w:r>
      <w:r w:rsidR="00EC2671" w:rsidRPr="00E51785">
        <w:rPr>
          <w:sz w:val="28"/>
          <w:szCs w:val="28"/>
          <w:lang w:val="uk-UA" w:eastAsia="zh-CN"/>
        </w:rPr>
        <w:t xml:space="preserve">у 2022 році в обсязі 59 083,6 тис. </w:t>
      </w:r>
      <w:proofErr w:type="spellStart"/>
      <w:r w:rsidR="00EC2671" w:rsidRPr="00E51785">
        <w:rPr>
          <w:sz w:val="28"/>
          <w:szCs w:val="28"/>
          <w:lang w:val="uk-UA" w:eastAsia="zh-CN"/>
        </w:rPr>
        <w:t>грн</w:t>
      </w:r>
      <w:proofErr w:type="spellEnd"/>
      <w:r w:rsidR="00EC2671" w:rsidRPr="00E51785">
        <w:rPr>
          <w:sz w:val="28"/>
          <w:szCs w:val="28"/>
          <w:lang w:val="uk-UA" w:eastAsia="zh-CN"/>
        </w:rPr>
        <w:t xml:space="preserve">, у 2023 – 59 666,9 тис. </w:t>
      </w:r>
      <w:proofErr w:type="spellStart"/>
      <w:r w:rsidR="00EC2671" w:rsidRPr="00E51785">
        <w:rPr>
          <w:sz w:val="28"/>
          <w:szCs w:val="28"/>
          <w:lang w:val="uk-UA" w:eastAsia="zh-CN"/>
        </w:rPr>
        <w:t>грн</w:t>
      </w:r>
      <w:proofErr w:type="spellEnd"/>
      <w:r w:rsidR="00EC2671" w:rsidRPr="00E51785">
        <w:rPr>
          <w:sz w:val="28"/>
          <w:szCs w:val="28"/>
          <w:lang w:val="uk-UA" w:eastAsia="zh-CN"/>
        </w:rPr>
        <w:t>, у 2024 – 60 250,3 тис. грн</w:t>
      </w:r>
      <w:r w:rsidRPr="00E51785">
        <w:rPr>
          <w:sz w:val="28"/>
          <w:szCs w:val="28"/>
          <w:lang w:val="uk-UA" w:eastAsia="zh-CN"/>
        </w:rPr>
        <w:t xml:space="preserve">.  </w:t>
      </w:r>
    </w:p>
    <w:p w:rsidR="00AE5DFD" w:rsidRPr="00DC7E0E" w:rsidRDefault="00AE5DFD" w:rsidP="00F96494">
      <w:pPr>
        <w:shd w:val="clear" w:color="auto" w:fill="FFFFFF"/>
        <w:tabs>
          <w:tab w:val="left" w:pos="993"/>
        </w:tabs>
        <w:ind w:firstLine="709"/>
        <w:jc w:val="both"/>
        <w:rPr>
          <w:rStyle w:val="rvts9"/>
          <w:b/>
          <w:i/>
          <w:sz w:val="28"/>
          <w:szCs w:val="28"/>
          <w:lang w:val="uk-UA"/>
        </w:rPr>
      </w:pPr>
    </w:p>
    <w:p w:rsidR="002F5996" w:rsidRPr="003D3BDC" w:rsidRDefault="002F5996" w:rsidP="00621CEE">
      <w:pPr>
        <w:pStyle w:val="a7"/>
        <w:ind w:left="0"/>
        <w:jc w:val="center"/>
        <w:rPr>
          <w:b/>
          <w:iCs/>
          <w:sz w:val="28"/>
          <w:szCs w:val="28"/>
          <w:lang w:val="uk-UA"/>
        </w:rPr>
      </w:pPr>
      <w:r w:rsidRPr="003D3BDC">
        <w:rPr>
          <w:b/>
          <w:iCs/>
          <w:sz w:val="28"/>
          <w:szCs w:val="28"/>
          <w:lang w:val="uk-UA"/>
        </w:rPr>
        <w:t>Міжбюджетні відносини</w:t>
      </w:r>
    </w:p>
    <w:p w:rsidR="002F5996" w:rsidRPr="00DC7E0E" w:rsidRDefault="002F5996" w:rsidP="00F96494">
      <w:pPr>
        <w:shd w:val="clear" w:color="auto" w:fill="FFFFFF"/>
        <w:ind w:firstLine="709"/>
        <w:jc w:val="both"/>
        <w:rPr>
          <w:sz w:val="28"/>
          <w:szCs w:val="28"/>
          <w:lang w:val="uk-UA"/>
        </w:rPr>
      </w:pPr>
      <w:r w:rsidRPr="00DC7E0E">
        <w:rPr>
          <w:sz w:val="28"/>
          <w:szCs w:val="28"/>
          <w:lang w:val="uk-UA"/>
        </w:rPr>
        <w:t>Відповідно до показників</w:t>
      </w:r>
      <w:r w:rsidR="00D241B9" w:rsidRPr="00DC7E0E">
        <w:rPr>
          <w:sz w:val="28"/>
          <w:szCs w:val="28"/>
          <w:lang w:val="uk-UA"/>
        </w:rPr>
        <w:t>,</w:t>
      </w:r>
      <w:r w:rsidR="008A5C90" w:rsidRPr="00DC7E0E">
        <w:rPr>
          <w:sz w:val="28"/>
          <w:szCs w:val="28"/>
          <w:lang w:val="uk-UA"/>
        </w:rPr>
        <w:t xml:space="preserve"> </w:t>
      </w:r>
      <w:r w:rsidR="00D241B9" w:rsidRPr="00DC7E0E">
        <w:rPr>
          <w:sz w:val="28"/>
          <w:szCs w:val="28"/>
          <w:lang w:val="uk-UA"/>
        </w:rPr>
        <w:t xml:space="preserve">доведених </w:t>
      </w:r>
      <w:r w:rsidRPr="00DC7E0E">
        <w:rPr>
          <w:sz w:val="28"/>
          <w:szCs w:val="28"/>
          <w:lang w:val="uk-UA"/>
        </w:rPr>
        <w:t>Міністерством фінансів України</w:t>
      </w:r>
      <w:r w:rsidR="008A5C90" w:rsidRPr="00DC7E0E">
        <w:rPr>
          <w:sz w:val="28"/>
          <w:szCs w:val="28"/>
          <w:lang w:val="uk-UA"/>
        </w:rPr>
        <w:t xml:space="preserve"> та департаменту фінансів Миколаївської обласної державної адміністрації</w:t>
      </w:r>
      <w:r w:rsidR="00D241B9" w:rsidRPr="00DC7E0E">
        <w:rPr>
          <w:sz w:val="28"/>
          <w:szCs w:val="28"/>
          <w:lang w:val="uk-UA"/>
        </w:rPr>
        <w:t>,</w:t>
      </w:r>
      <w:r w:rsidRPr="00DC7E0E">
        <w:rPr>
          <w:sz w:val="28"/>
          <w:szCs w:val="28"/>
          <w:lang w:val="uk-UA"/>
        </w:rPr>
        <w:t xml:space="preserve"> у 2022-2024 роках планується:</w:t>
      </w:r>
    </w:p>
    <w:p w:rsidR="002F5996" w:rsidRPr="00DC7E0E" w:rsidRDefault="002F5996" w:rsidP="00F96494">
      <w:pPr>
        <w:pStyle w:val="a7"/>
        <w:numPr>
          <w:ilvl w:val="1"/>
          <w:numId w:val="7"/>
        </w:numPr>
        <w:shd w:val="clear" w:color="auto" w:fill="FFFFFF"/>
        <w:tabs>
          <w:tab w:val="left" w:pos="993"/>
        </w:tabs>
        <w:ind w:left="0" w:firstLine="709"/>
        <w:jc w:val="both"/>
        <w:rPr>
          <w:sz w:val="28"/>
          <w:szCs w:val="28"/>
          <w:lang w:val="uk-UA"/>
        </w:rPr>
      </w:pPr>
      <w:r w:rsidRPr="00DC7E0E">
        <w:rPr>
          <w:sz w:val="28"/>
          <w:szCs w:val="28"/>
          <w:lang w:val="uk-UA"/>
        </w:rPr>
        <w:t xml:space="preserve">надходження до бюджету </w:t>
      </w:r>
      <w:r w:rsidR="008A5C90" w:rsidRPr="00DC7E0E">
        <w:rPr>
          <w:sz w:val="28"/>
          <w:szCs w:val="28"/>
          <w:lang w:val="uk-UA"/>
        </w:rPr>
        <w:t>Миколаївської</w:t>
      </w:r>
      <w:r w:rsidRPr="00DC7E0E">
        <w:rPr>
          <w:sz w:val="28"/>
          <w:szCs w:val="28"/>
          <w:lang w:val="uk-UA"/>
        </w:rPr>
        <w:t xml:space="preserve"> міської територіальної громади освітньої субвенції з державного бюджету місцевим бюджетам у 2022 році – 8</w:t>
      </w:r>
      <w:r w:rsidR="00852F21" w:rsidRPr="00DC7E0E">
        <w:rPr>
          <w:sz w:val="28"/>
          <w:szCs w:val="28"/>
          <w:lang w:val="uk-UA"/>
        </w:rPr>
        <w:t>49</w:t>
      </w:r>
      <w:r w:rsidRPr="00DC7E0E">
        <w:rPr>
          <w:sz w:val="28"/>
          <w:szCs w:val="28"/>
          <w:lang w:val="uk-UA"/>
        </w:rPr>
        <w:t> </w:t>
      </w:r>
      <w:r w:rsidR="00852F21" w:rsidRPr="00DC7E0E">
        <w:rPr>
          <w:sz w:val="28"/>
          <w:szCs w:val="28"/>
          <w:lang w:val="uk-UA"/>
        </w:rPr>
        <w:t>648</w:t>
      </w:r>
      <w:r w:rsidRPr="00DC7E0E">
        <w:rPr>
          <w:sz w:val="28"/>
          <w:szCs w:val="28"/>
          <w:lang w:val="uk-UA"/>
        </w:rPr>
        <w:t>,</w:t>
      </w:r>
      <w:r w:rsidR="00852F21" w:rsidRPr="00DC7E0E">
        <w:rPr>
          <w:sz w:val="28"/>
          <w:szCs w:val="28"/>
          <w:lang w:val="uk-UA"/>
        </w:rPr>
        <w:t>6</w:t>
      </w:r>
      <w:r w:rsidRPr="00DC7E0E">
        <w:rPr>
          <w:sz w:val="28"/>
          <w:szCs w:val="28"/>
          <w:lang w:val="uk-UA"/>
        </w:rPr>
        <w:t xml:space="preserve"> тис. </w:t>
      </w:r>
      <w:proofErr w:type="spellStart"/>
      <w:r w:rsidRPr="00DC7E0E">
        <w:rPr>
          <w:sz w:val="28"/>
          <w:szCs w:val="28"/>
          <w:lang w:val="uk-UA"/>
        </w:rPr>
        <w:t>грн</w:t>
      </w:r>
      <w:proofErr w:type="spellEnd"/>
      <w:r w:rsidRPr="00DC7E0E">
        <w:rPr>
          <w:sz w:val="28"/>
          <w:szCs w:val="28"/>
          <w:lang w:val="uk-UA"/>
        </w:rPr>
        <w:t xml:space="preserve">; у 2023 році – </w:t>
      </w:r>
      <w:r w:rsidR="00852F21" w:rsidRPr="00DC7E0E">
        <w:rPr>
          <w:sz w:val="28"/>
          <w:szCs w:val="28"/>
          <w:lang w:val="uk-UA"/>
        </w:rPr>
        <w:t>930</w:t>
      </w:r>
      <w:r w:rsidRPr="00DC7E0E">
        <w:rPr>
          <w:sz w:val="28"/>
          <w:szCs w:val="28"/>
          <w:lang w:val="uk-UA"/>
        </w:rPr>
        <w:t> </w:t>
      </w:r>
      <w:r w:rsidR="00852F21" w:rsidRPr="00DC7E0E">
        <w:rPr>
          <w:sz w:val="28"/>
          <w:szCs w:val="28"/>
          <w:lang w:val="uk-UA"/>
        </w:rPr>
        <w:t>573</w:t>
      </w:r>
      <w:r w:rsidRPr="00DC7E0E">
        <w:rPr>
          <w:sz w:val="28"/>
          <w:szCs w:val="28"/>
          <w:lang w:val="uk-UA"/>
        </w:rPr>
        <w:t>,</w:t>
      </w:r>
      <w:r w:rsidR="00852F21" w:rsidRPr="00DC7E0E">
        <w:rPr>
          <w:sz w:val="28"/>
          <w:szCs w:val="28"/>
          <w:lang w:val="uk-UA"/>
        </w:rPr>
        <w:t>1</w:t>
      </w:r>
      <w:r w:rsidRPr="00DC7E0E">
        <w:rPr>
          <w:sz w:val="28"/>
          <w:szCs w:val="28"/>
          <w:lang w:val="uk-UA"/>
        </w:rPr>
        <w:t xml:space="preserve"> тис. </w:t>
      </w:r>
      <w:proofErr w:type="spellStart"/>
      <w:r w:rsidRPr="00DC7E0E">
        <w:rPr>
          <w:sz w:val="28"/>
          <w:szCs w:val="28"/>
          <w:lang w:val="uk-UA"/>
        </w:rPr>
        <w:t>грн</w:t>
      </w:r>
      <w:proofErr w:type="spellEnd"/>
      <w:r w:rsidRPr="00DC7E0E">
        <w:rPr>
          <w:sz w:val="28"/>
          <w:szCs w:val="28"/>
          <w:lang w:val="uk-UA"/>
        </w:rPr>
        <w:t xml:space="preserve">; у 2024 році – </w:t>
      </w:r>
      <w:r w:rsidR="00852F21" w:rsidRPr="00DC7E0E">
        <w:rPr>
          <w:sz w:val="28"/>
          <w:szCs w:val="28"/>
          <w:lang w:val="uk-UA"/>
        </w:rPr>
        <w:t>994</w:t>
      </w:r>
      <w:r w:rsidR="002440C4" w:rsidRPr="00DC7E0E">
        <w:rPr>
          <w:sz w:val="28"/>
          <w:szCs w:val="28"/>
          <w:lang w:val="uk-UA"/>
        </w:rPr>
        <w:t> </w:t>
      </w:r>
      <w:r w:rsidR="00852F21" w:rsidRPr="00DC7E0E">
        <w:rPr>
          <w:sz w:val="28"/>
          <w:szCs w:val="28"/>
          <w:lang w:val="uk-UA"/>
        </w:rPr>
        <w:t>074</w:t>
      </w:r>
      <w:r w:rsidR="002440C4" w:rsidRPr="00DC7E0E">
        <w:rPr>
          <w:sz w:val="28"/>
          <w:szCs w:val="28"/>
          <w:lang w:val="uk-UA"/>
        </w:rPr>
        <w:t>,</w:t>
      </w:r>
      <w:r w:rsidR="00852F21" w:rsidRPr="00DC7E0E">
        <w:rPr>
          <w:sz w:val="28"/>
          <w:szCs w:val="28"/>
          <w:lang w:val="uk-UA"/>
        </w:rPr>
        <w:t>9</w:t>
      </w:r>
      <w:r w:rsidR="002440C4" w:rsidRPr="00DC7E0E">
        <w:rPr>
          <w:sz w:val="28"/>
          <w:szCs w:val="28"/>
          <w:lang w:val="uk-UA"/>
        </w:rPr>
        <w:t> </w:t>
      </w:r>
      <w:r w:rsidRPr="00DC7E0E">
        <w:rPr>
          <w:sz w:val="28"/>
          <w:szCs w:val="28"/>
          <w:lang w:val="uk-UA"/>
        </w:rPr>
        <w:t xml:space="preserve">тис. </w:t>
      </w:r>
      <w:proofErr w:type="spellStart"/>
      <w:r w:rsidRPr="00DC7E0E">
        <w:rPr>
          <w:sz w:val="28"/>
          <w:szCs w:val="28"/>
          <w:lang w:val="uk-UA"/>
        </w:rPr>
        <w:t>грн</w:t>
      </w:r>
      <w:proofErr w:type="spellEnd"/>
      <w:r w:rsidRPr="00DC7E0E">
        <w:rPr>
          <w:sz w:val="28"/>
          <w:szCs w:val="28"/>
          <w:lang w:val="uk-UA"/>
        </w:rPr>
        <w:t>;</w:t>
      </w:r>
    </w:p>
    <w:p w:rsidR="00A170D6" w:rsidRPr="00DC7E0E" w:rsidRDefault="00A170D6" w:rsidP="00A170D6">
      <w:pPr>
        <w:pStyle w:val="a7"/>
        <w:numPr>
          <w:ilvl w:val="1"/>
          <w:numId w:val="7"/>
        </w:numPr>
        <w:shd w:val="clear" w:color="auto" w:fill="FFFFFF"/>
        <w:tabs>
          <w:tab w:val="left" w:pos="993"/>
        </w:tabs>
        <w:ind w:left="0" w:firstLine="709"/>
        <w:jc w:val="both"/>
        <w:rPr>
          <w:sz w:val="28"/>
          <w:szCs w:val="28"/>
          <w:lang w:val="uk-UA"/>
        </w:rPr>
      </w:pPr>
      <w:r w:rsidRPr="00DC7E0E">
        <w:rPr>
          <w:sz w:val="28"/>
          <w:szCs w:val="28"/>
          <w:lang w:val="uk-UA"/>
        </w:rPr>
        <w:lastRenderedPageBreak/>
        <w:t xml:space="preserve">надходження до бюджету Миколаївської міської територіальної громади </w:t>
      </w:r>
      <w:r w:rsidR="00153DB1" w:rsidRPr="00DC7E0E">
        <w:rPr>
          <w:sz w:val="28"/>
          <w:szCs w:val="28"/>
          <w:lang w:val="uk-UA"/>
        </w:rPr>
        <w:t xml:space="preserve">інших субвенцій </w:t>
      </w:r>
      <w:r w:rsidRPr="00DC7E0E">
        <w:rPr>
          <w:sz w:val="28"/>
          <w:szCs w:val="28"/>
          <w:lang w:val="uk-UA"/>
        </w:rPr>
        <w:t xml:space="preserve">з обласного бюджету Миколаївської області у 2022 році – 9 112,6 тис. </w:t>
      </w:r>
      <w:proofErr w:type="spellStart"/>
      <w:r w:rsidRPr="00DC7E0E">
        <w:rPr>
          <w:sz w:val="28"/>
          <w:szCs w:val="28"/>
          <w:lang w:val="uk-UA"/>
        </w:rPr>
        <w:t>грн</w:t>
      </w:r>
      <w:proofErr w:type="spellEnd"/>
      <w:r w:rsidRPr="00DC7E0E">
        <w:rPr>
          <w:sz w:val="28"/>
          <w:szCs w:val="28"/>
          <w:lang w:val="uk-UA"/>
        </w:rPr>
        <w:t xml:space="preserve">; у 2023 році – 9 585,0 тис. </w:t>
      </w:r>
      <w:proofErr w:type="spellStart"/>
      <w:r w:rsidRPr="00DC7E0E">
        <w:rPr>
          <w:sz w:val="28"/>
          <w:szCs w:val="28"/>
          <w:lang w:val="uk-UA"/>
        </w:rPr>
        <w:t>грн</w:t>
      </w:r>
      <w:proofErr w:type="spellEnd"/>
      <w:r w:rsidRPr="00DC7E0E">
        <w:rPr>
          <w:sz w:val="28"/>
          <w:szCs w:val="28"/>
          <w:lang w:val="uk-UA"/>
        </w:rPr>
        <w:t>; у 2024 році – 10 031,2 </w:t>
      </w:r>
      <w:r w:rsidR="00B54A6C" w:rsidRPr="00DC7E0E">
        <w:rPr>
          <w:sz w:val="28"/>
          <w:szCs w:val="28"/>
          <w:lang w:val="uk-UA"/>
        </w:rPr>
        <w:t xml:space="preserve">тис. </w:t>
      </w:r>
      <w:proofErr w:type="spellStart"/>
      <w:r w:rsidR="00B54A6C" w:rsidRPr="00DC7E0E">
        <w:rPr>
          <w:sz w:val="28"/>
          <w:szCs w:val="28"/>
          <w:lang w:val="uk-UA"/>
        </w:rPr>
        <w:t>грн</w:t>
      </w:r>
      <w:proofErr w:type="spellEnd"/>
      <w:r w:rsidR="00B54A6C" w:rsidRPr="00DC7E0E">
        <w:rPr>
          <w:sz w:val="28"/>
          <w:szCs w:val="28"/>
          <w:lang w:val="uk-UA"/>
        </w:rPr>
        <w:t>; з них:</w:t>
      </w:r>
      <w:r w:rsidR="005650C0">
        <w:rPr>
          <w:sz w:val="28"/>
          <w:szCs w:val="28"/>
          <w:lang w:val="uk-UA"/>
        </w:rPr>
        <w:t xml:space="preserve">                                                                                                          тис. </w:t>
      </w:r>
      <w:proofErr w:type="spellStart"/>
      <w:r w:rsidR="005650C0">
        <w:rPr>
          <w:sz w:val="28"/>
          <w:szCs w:val="28"/>
          <w:lang w:val="uk-UA"/>
        </w:rPr>
        <w:t>грн</w:t>
      </w:r>
      <w:proofErr w:type="spellEnd"/>
    </w:p>
    <w:tbl>
      <w:tblPr>
        <w:tblW w:w="9654" w:type="dxa"/>
        <w:tblInd w:w="93" w:type="dxa"/>
        <w:tblLook w:val="04A0"/>
      </w:tblPr>
      <w:tblGrid>
        <w:gridCol w:w="5801"/>
        <w:gridCol w:w="1302"/>
        <w:gridCol w:w="1276"/>
        <w:gridCol w:w="1275"/>
      </w:tblGrid>
      <w:tr w:rsidR="00B54A6C" w:rsidRPr="00DC7E0E" w:rsidTr="005650C0">
        <w:trPr>
          <w:trHeight w:val="1171"/>
        </w:trPr>
        <w:tc>
          <w:tcPr>
            <w:tcW w:w="58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4A6C" w:rsidRPr="00DC7E0E" w:rsidRDefault="00B54A6C" w:rsidP="00B54A6C">
            <w:pPr>
              <w:jc w:val="center"/>
              <w:rPr>
                <w:bCs/>
                <w:iCs/>
                <w:lang w:val="uk-UA"/>
              </w:rPr>
            </w:pPr>
            <w:r w:rsidRPr="00DC7E0E">
              <w:rPr>
                <w:bCs/>
                <w:iCs/>
                <w:sz w:val="28"/>
                <w:szCs w:val="28"/>
                <w:lang w:val="uk-UA"/>
              </w:rPr>
              <w:t>Найменування трансферту</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B54A6C" w:rsidRPr="00DC7E0E" w:rsidRDefault="00B54A6C" w:rsidP="00B54A6C">
            <w:pPr>
              <w:jc w:val="center"/>
              <w:rPr>
                <w:bCs/>
                <w:lang w:val="uk-UA"/>
              </w:rPr>
            </w:pPr>
            <w:r w:rsidRPr="00DC7E0E">
              <w:rPr>
                <w:bCs/>
                <w:sz w:val="28"/>
                <w:szCs w:val="28"/>
                <w:lang w:val="uk-UA"/>
              </w:rPr>
              <w:t>2022 рік</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54A6C" w:rsidRPr="00DC7E0E" w:rsidRDefault="00B54A6C" w:rsidP="00B54A6C">
            <w:pPr>
              <w:jc w:val="center"/>
              <w:rPr>
                <w:bCs/>
                <w:lang w:val="uk-UA"/>
              </w:rPr>
            </w:pPr>
            <w:r w:rsidRPr="00DC7E0E">
              <w:rPr>
                <w:bCs/>
                <w:sz w:val="28"/>
                <w:szCs w:val="28"/>
                <w:lang w:val="uk-UA"/>
              </w:rPr>
              <w:t>2023 рік</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54A6C" w:rsidRPr="00DC7E0E" w:rsidRDefault="00B54A6C" w:rsidP="00B54A6C">
            <w:pPr>
              <w:jc w:val="center"/>
              <w:rPr>
                <w:bCs/>
                <w:lang w:val="uk-UA"/>
              </w:rPr>
            </w:pPr>
            <w:r w:rsidRPr="00DC7E0E">
              <w:rPr>
                <w:bCs/>
                <w:sz w:val="28"/>
                <w:szCs w:val="28"/>
                <w:lang w:val="uk-UA"/>
              </w:rPr>
              <w:t>2024 рік</w:t>
            </w:r>
          </w:p>
        </w:tc>
      </w:tr>
      <w:tr w:rsidR="00B54A6C" w:rsidRPr="00B54A6C" w:rsidTr="005650C0">
        <w:trPr>
          <w:trHeight w:val="975"/>
        </w:trPr>
        <w:tc>
          <w:tcPr>
            <w:tcW w:w="5801" w:type="dxa"/>
            <w:tcBorders>
              <w:top w:val="single" w:sz="4" w:space="0" w:color="auto"/>
              <w:left w:val="single" w:sz="4" w:space="0" w:color="auto"/>
              <w:bottom w:val="single" w:sz="4" w:space="0" w:color="auto"/>
              <w:right w:val="single" w:sz="4" w:space="0" w:color="auto"/>
            </w:tcBorders>
            <w:shd w:val="clear" w:color="auto" w:fill="auto"/>
            <w:hideMark/>
          </w:tcPr>
          <w:p w:rsidR="00B54A6C" w:rsidRPr="00B54A6C" w:rsidRDefault="00B54A6C" w:rsidP="00B54A6C">
            <w:pPr>
              <w:jc w:val="both"/>
              <w:rPr>
                <w:bCs/>
                <w:iCs/>
                <w:lang w:val="uk-UA"/>
              </w:rPr>
            </w:pPr>
            <w:r w:rsidRPr="00DC7E0E">
              <w:rPr>
                <w:bCs/>
                <w:iCs/>
                <w:sz w:val="28"/>
                <w:szCs w:val="28"/>
                <w:lang w:val="uk-UA"/>
              </w:rPr>
              <w:t>С</w:t>
            </w:r>
            <w:r w:rsidRPr="00B54A6C">
              <w:rPr>
                <w:bCs/>
                <w:iCs/>
                <w:sz w:val="28"/>
                <w:szCs w:val="28"/>
                <w:lang w:val="uk-UA"/>
              </w:rPr>
              <w:t>убвенція для надання щомісячної матеріальної допомоги  учасникам бойових дій у роки Другої світової війни</w:t>
            </w:r>
          </w:p>
        </w:tc>
        <w:tc>
          <w:tcPr>
            <w:tcW w:w="1302" w:type="dxa"/>
            <w:tcBorders>
              <w:top w:val="single" w:sz="4" w:space="0" w:color="auto"/>
              <w:left w:val="nil"/>
              <w:bottom w:val="single" w:sz="4" w:space="0" w:color="auto"/>
              <w:right w:val="single" w:sz="4" w:space="0" w:color="auto"/>
            </w:tcBorders>
            <w:shd w:val="clear" w:color="auto" w:fill="auto"/>
            <w:hideMark/>
          </w:tcPr>
          <w:p w:rsidR="00B54A6C" w:rsidRPr="00B54A6C" w:rsidRDefault="00B54A6C" w:rsidP="005650C0">
            <w:pPr>
              <w:jc w:val="center"/>
              <w:rPr>
                <w:bCs/>
                <w:iCs/>
                <w:sz w:val="27"/>
                <w:szCs w:val="27"/>
                <w:lang w:val="uk-UA"/>
              </w:rPr>
            </w:pPr>
            <w:r w:rsidRPr="00B54A6C">
              <w:rPr>
                <w:bCs/>
                <w:iCs/>
                <w:sz w:val="27"/>
                <w:szCs w:val="27"/>
                <w:lang w:val="uk-UA"/>
              </w:rPr>
              <w:t>5</w:t>
            </w:r>
            <w:r w:rsidR="005650C0">
              <w:rPr>
                <w:bCs/>
                <w:iCs/>
                <w:sz w:val="27"/>
                <w:szCs w:val="27"/>
                <w:lang w:val="uk-UA"/>
              </w:rPr>
              <w:t> </w:t>
            </w:r>
            <w:r w:rsidRPr="00B54A6C">
              <w:rPr>
                <w:bCs/>
                <w:iCs/>
                <w:sz w:val="27"/>
                <w:szCs w:val="27"/>
                <w:lang w:val="uk-UA"/>
              </w:rPr>
              <w:t>160</w:t>
            </w:r>
            <w:r w:rsidR="005650C0">
              <w:rPr>
                <w:bCs/>
                <w:iCs/>
                <w:sz w:val="27"/>
                <w:szCs w:val="27"/>
                <w:lang w:val="uk-UA"/>
              </w:rPr>
              <w:t>,</w:t>
            </w:r>
            <w:r w:rsidRPr="00B54A6C">
              <w:rPr>
                <w:bCs/>
                <w:iCs/>
                <w:sz w:val="27"/>
                <w:szCs w:val="27"/>
                <w:lang w:val="uk-UA"/>
              </w:rPr>
              <w:t>0</w:t>
            </w:r>
          </w:p>
        </w:tc>
        <w:tc>
          <w:tcPr>
            <w:tcW w:w="1276" w:type="dxa"/>
            <w:tcBorders>
              <w:top w:val="single" w:sz="4" w:space="0" w:color="auto"/>
              <w:left w:val="nil"/>
              <w:bottom w:val="single" w:sz="4" w:space="0" w:color="auto"/>
              <w:right w:val="single" w:sz="4" w:space="0" w:color="auto"/>
            </w:tcBorders>
            <w:shd w:val="clear" w:color="auto" w:fill="auto"/>
            <w:hideMark/>
          </w:tcPr>
          <w:p w:rsidR="00B54A6C" w:rsidRPr="00B54A6C" w:rsidRDefault="00B54A6C" w:rsidP="005650C0">
            <w:pPr>
              <w:jc w:val="center"/>
              <w:rPr>
                <w:bCs/>
                <w:iCs/>
                <w:sz w:val="27"/>
                <w:szCs w:val="27"/>
                <w:lang w:val="uk-UA"/>
              </w:rPr>
            </w:pPr>
            <w:r w:rsidRPr="00B54A6C">
              <w:rPr>
                <w:bCs/>
                <w:iCs/>
                <w:sz w:val="27"/>
                <w:szCs w:val="27"/>
                <w:lang w:val="uk-UA"/>
              </w:rPr>
              <w:t>5</w:t>
            </w:r>
            <w:r w:rsidR="005650C0">
              <w:rPr>
                <w:bCs/>
                <w:iCs/>
                <w:sz w:val="27"/>
                <w:szCs w:val="27"/>
                <w:lang w:val="uk-UA"/>
              </w:rPr>
              <w:t> </w:t>
            </w:r>
            <w:r w:rsidRPr="00B54A6C">
              <w:rPr>
                <w:bCs/>
                <w:iCs/>
                <w:sz w:val="27"/>
                <w:szCs w:val="27"/>
                <w:lang w:val="uk-UA"/>
              </w:rPr>
              <w:t>413</w:t>
            </w:r>
            <w:r w:rsidR="005650C0">
              <w:rPr>
                <w:bCs/>
                <w:iCs/>
                <w:sz w:val="27"/>
                <w:szCs w:val="27"/>
                <w:lang w:val="uk-UA"/>
              </w:rPr>
              <w:t>,</w:t>
            </w:r>
            <w:r w:rsidRPr="00B54A6C">
              <w:rPr>
                <w:bCs/>
                <w:iCs/>
                <w:sz w:val="27"/>
                <w:szCs w:val="27"/>
                <w:lang w:val="uk-UA"/>
              </w:rPr>
              <w:t>2</w:t>
            </w:r>
          </w:p>
        </w:tc>
        <w:tc>
          <w:tcPr>
            <w:tcW w:w="1275" w:type="dxa"/>
            <w:tcBorders>
              <w:top w:val="single" w:sz="4" w:space="0" w:color="auto"/>
              <w:left w:val="nil"/>
              <w:bottom w:val="single" w:sz="4" w:space="0" w:color="auto"/>
              <w:right w:val="single" w:sz="4" w:space="0" w:color="auto"/>
            </w:tcBorders>
            <w:shd w:val="clear" w:color="auto" w:fill="auto"/>
            <w:hideMark/>
          </w:tcPr>
          <w:p w:rsidR="00B54A6C" w:rsidRPr="00B54A6C" w:rsidRDefault="00B54A6C" w:rsidP="005650C0">
            <w:pPr>
              <w:jc w:val="center"/>
              <w:rPr>
                <w:bCs/>
                <w:iCs/>
                <w:sz w:val="27"/>
                <w:szCs w:val="27"/>
                <w:lang w:val="uk-UA"/>
              </w:rPr>
            </w:pPr>
            <w:r w:rsidRPr="00B54A6C">
              <w:rPr>
                <w:bCs/>
                <w:iCs/>
                <w:sz w:val="27"/>
                <w:szCs w:val="27"/>
                <w:lang w:val="uk-UA"/>
              </w:rPr>
              <w:t>5</w:t>
            </w:r>
            <w:r w:rsidR="005650C0">
              <w:rPr>
                <w:bCs/>
                <w:iCs/>
                <w:sz w:val="27"/>
                <w:szCs w:val="27"/>
                <w:lang w:val="uk-UA"/>
              </w:rPr>
              <w:t> </w:t>
            </w:r>
            <w:r w:rsidRPr="00B54A6C">
              <w:rPr>
                <w:bCs/>
                <w:iCs/>
                <w:sz w:val="27"/>
                <w:szCs w:val="27"/>
                <w:lang w:val="uk-UA"/>
              </w:rPr>
              <w:t>632</w:t>
            </w:r>
            <w:r w:rsidR="005650C0">
              <w:rPr>
                <w:bCs/>
                <w:iCs/>
                <w:sz w:val="27"/>
                <w:szCs w:val="27"/>
                <w:lang w:val="uk-UA"/>
              </w:rPr>
              <w:t>,8</w:t>
            </w:r>
          </w:p>
        </w:tc>
      </w:tr>
      <w:tr w:rsidR="00B54A6C" w:rsidRPr="00B54A6C" w:rsidTr="005650C0">
        <w:trPr>
          <w:trHeight w:val="2006"/>
        </w:trPr>
        <w:tc>
          <w:tcPr>
            <w:tcW w:w="5801" w:type="dxa"/>
            <w:tcBorders>
              <w:top w:val="nil"/>
              <w:left w:val="single" w:sz="4" w:space="0" w:color="auto"/>
              <w:bottom w:val="single" w:sz="4" w:space="0" w:color="auto"/>
              <w:right w:val="single" w:sz="4" w:space="0" w:color="auto"/>
            </w:tcBorders>
            <w:shd w:val="clear" w:color="auto" w:fill="auto"/>
            <w:hideMark/>
          </w:tcPr>
          <w:p w:rsidR="00B54A6C" w:rsidRPr="00B54A6C" w:rsidRDefault="00B54A6C" w:rsidP="00B54A6C">
            <w:pPr>
              <w:jc w:val="both"/>
              <w:rPr>
                <w:bCs/>
                <w:iCs/>
                <w:lang w:val="uk-UA"/>
              </w:rPr>
            </w:pPr>
            <w:r w:rsidRPr="00DC7E0E">
              <w:rPr>
                <w:bCs/>
                <w:iCs/>
                <w:sz w:val="28"/>
                <w:szCs w:val="28"/>
                <w:lang w:val="uk-UA"/>
              </w:rPr>
              <w:t>С</w:t>
            </w:r>
            <w:r w:rsidRPr="00B54A6C">
              <w:rPr>
                <w:bCs/>
                <w:iCs/>
                <w:sz w:val="28"/>
                <w:szCs w:val="28"/>
                <w:lang w:val="uk-UA"/>
              </w:rPr>
              <w:t>убвенція для надання одноразової матеріальної допомоги громадянам, які постраждали внаслідок Чорнобильської катастрофи (категорії І ), та дітям з інвалідністю, інвалідність яких пов'язана з Чорнобильською катастрофою</w:t>
            </w:r>
          </w:p>
        </w:tc>
        <w:tc>
          <w:tcPr>
            <w:tcW w:w="1302"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472</w:t>
            </w:r>
            <w:r w:rsidR="005650C0">
              <w:rPr>
                <w:bCs/>
                <w:iCs/>
                <w:sz w:val="28"/>
                <w:szCs w:val="28"/>
                <w:lang w:val="uk-UA"/>
              </w:rPr>
              <w:t>,</w:t>
            </w:r>
            <w:r w:rsidRPr="00B54A6C">
              <w:rPr>
                <w:bCs/>
                <w:iCs/>
                <w:sz w:val="28"/>
                <w:szCs w:val="28"/>
                <w:lang w:val="uk-UA"/>
              </w:rPr>
              <w:t>12</w:t>
            </w:r>
          </w:p>
        </w:tc>
        <w:tc>
          <w:tcPr>
            <w:tcW w:w="1276"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519</w:t>
            </w:r>
            <w:r w:rsidR="005650C0">
              <w:rPr>
                <w:bCs/>
                <w:iCs/>
                <w:sz w:val="28"/>
                <w:szCs w:val="28"/>
                <w:lang w:val="uk-UA"/>
              </w:rPr>
              <w:t>,</w:t>
            </w:r>
            <w:r w:rsidRPr="00B54A6C">
              <w:rPr>
                <w:bCs/>
                <w:iCs/>
                <w:sz w:val="28"/>
                <w:szCs w:val="28"/>
                <w:lang w:val="uk-UA"/>
              </w:rPr>
              <w:t>3</w:t>
            </w:r>
          </w:p>
        </w:tc>
        <w:tc>
          <w:tcPr>
            <w:tcW w:w="1275"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571</w:t>
            </w:r>
            <w:r w:rsidR="005650C0">
              <w:rPr>
                <w:bCs/>
                <w:iCs/>
                <w:sz w:val="28"/>
                <w:szCs w:val="28"/>
                <w:lang w:val="uk-UA"/>
              </w:rPr>
              <w:t>,</w:t>
            </w:r>
            <w:r w:rsidRPr="00B54A6C">
              <w:rPr>
                <w:bCs/>
                <w:iCs/>
                <w:sz w:val="28"/>
                <w:szCs w:val="28"/>
                <w:lang w:val="uk-UA"/>
              </w:rPr>
              <w:t>3</w:t>
            </w:r>
          </w:p>
        </w:tc>
      </w:tr>
      <w:tr w:rsidR="00B54A6C" w:rsidRPr="00B54A6C" w:rsidTr="005650C0">
        <w:trPr>
          <w:trHeight w:val="1538"/>
        </w:trPr>
        <w:tc>
          <w:tcPr>
            <w:tcW w:w="5801" w:type="dxa"/>
            <w:tcBorders>
              <w:top w:val="nil"/>
              <w:left w:val="single" w:sz="4" w:space="0" w:color="auto"/>
              <w:bottom w:val="single" w:sz="4" w:space="0" w:color="auto"/>
              <w:right w:val="single" w:sz="4" w:space="0" w:color="auto"/>
            </w:tcBorders>
            <w:shd w:val="clear" w:color="auto" w:fill="auto"/>
            <w:hideMark/>
          </w:tcPr>
          <w:p w:rsidR="00B54A6C" w:rsidRPr="00B54A6C" w:rsidRDefault="00B54A6C" w:rsidP="00B54A6C">
            <w:pPr>
              <w:jc w:val="both"/>
              <w:rPr>
                <w:bCs/>
                <w:iCs/>
                <w:lang w:val="uk-UA"/>
              </w:rPr>
            </w:pPr>
            <w:r w:rsidRPr="00DC7E0E">
              <w:rPr>
                <w:bCs/>
                <w:iCs/>
                <w:sz w:val="28"/>
                <w:szCs w:val="28"/>
                <w:lang w:val="uk-UA"/>
              </w:rPr>
              <w:t>С</w:t>
            </w:r>
            <w:r w:rsidRPr="00B54A6C">
              <w:rPr>
                <w:bCs/>
                <w:iCs/>
                <w:sz w:val="28"/>
                <w:szCs w:val="28"/>
                <w:lang w:val="uk-UA"/>
              </w:rPr>
              <w:t>убвенція для надання матеріальної допомоги сім’ям загиблих та померлих учасників бойових дій на території інших країн, особам з інвалідністю внаслідок війни на території інших країн</w:t>
            </w:r>
          </w:p>
        </w:tc>
        <w:tc>
          <w:tcPr>
            <w:tcW w:w="1302"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896</w:t>
            </w:r>
            <w:r w:rsidR="005650C0">
              <w:rPr>
                <w:bCs/>
                <w:iCs/>
                <w:sz w:val="28"/>
                <w:szCs w:val="28"/>
                <w:lang w:val="uk-UA"/>
              </w:rPr>
              <w:t>,</w:t>
            </w:r>
            <w:r w:rsidRPr="00B54A6C">
              <w:rPr>
                <w:bCs/>
                <w:iCs/>
                <w:sz w:val="28"/>
                <w:szCs w:val="28"/>
                <w:lang w:val="uk-UA"/>
              </w:rPr>
              <w:t>39</w:t>
            </w:r>
          </w:p>
        </w:tc>
        <w:tc>
          <w:tcPr>
            <w:tcW w:w="1276"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986</w:t>
            </w:r>
            <w:r w:rsidR="005650C0">
              <w:rPr>
                <w:bCs/>
                <w:iCs/>
                <w:sz w:val="28"/>
                <w:szCs w:val="28"/>
                <w:lang w:val="uk-UA"/>
              </w:rPr>
              <w:t>,</w:t>
            </w:r>
            <w:r w:rsidRPr="00B54A6C">
              <w:rPr>
                <w:bCs/>
                <w:iCs/>
                <w:sz w:val="28"/>
                <w:szCs w:val="28"/>
                <w:lang w:val="uk-UA"/>
              </w:rPr>
              <w:t>0</w:t>
            </w:r>
          </w:p>
        </w:tc>
        <w:tc>
          <w:tcPr>
            <w:tcW w:w="1275"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1</w:t>
            </w:r>
            <w:r w:rsidR="005650C0">
              <w:rPr>
                <w:bCs/>
                <w:iCs/>
                <w:sz w:val="28"/>
                <w:szCs w:val="28"/>
                <w:lang w:val="uk-UA"/>
              </w:rPr>
              <w:t> </w:t>
            </w:r>
            <w:r w:rsidRPr="00B54A6C">
              <w:rPr>
                <w:bCs/>
                <w:iCs/>
                <w:sz w:val="28"/>
                <w:szCs w:val="28"/>
                <w:lang w:val="uk-UA"/>
              </w:rPr>
              <w:t>084</w:t>
            </w:r>
            <w:r w:rsidR="005650C0">
              <w:rPr>
                <w:bCs/>
                <w:iCs/>
                <w:sz w:val="28"/>
                <w:szCs w:val="28"/>
                <w:lang w:val="uk-UA"/>
              </w:rPr>
              <w:t>,</w:t>
            </w:r>
            <w:r w:rsidRPr="00B54A6C">
              <w:rPr>
                <w:bCs/>
                <w:iCs/>
                <w:sz w:val="28"/>
                <w:szCs w:val="28"/>
                <w:lang w:val="uk-UA"/>
              </w:rPr>
              <w:t>7</w:t>
            </w:r>
          </w:p>
        </w:tc>
      </w:tr>
      <w:tr w:rsidR="00B54A6C" w:rsidRPr="00B54A6C" w:rsidTr="005650C0">
        <w:trPr>
          <w:trHeight w:val="2185"/>
        </w:trPr>
        <w:tc>
          <w:tcPr>
            <w:tcW w:w="5801" w:type="dxa"/>
            <w:tcBorders>
              <w:top w:val="nil"/>
              <w:left w:val="single" w:sz="4" w:space="0" w:color="auto"/>
              <w:bottom w:val="single" w:sz="4" w:space="0" w:color="auto"/>
              <w:right w:val="single" w:sz="4" w:space="0" w:color="auto"/>
            </w:tcBorders>
            <w:shd w:val="clear" w:color="auto" w:fill="auto"/>
            <w:hideMark/>
          </w:tcPr>
          <w:p w:rsidR="00B54A6C" w:rsidRPr="00B54A6C" w:rsidRDefault="00B54A6C" w:rsidP="00B54A6C">
            <w:pPr>
              <w:jc w:val="both"/>
              <w:rPr>
                <w:bCs/>
                <w:iCs/>
                <w:lang w:val="uk-UA"/>
              </w:rPr>
            </w:pPr>
            <w:r w:rsidRPr="00DC7E0E">
              <w:rPr>
                <w:bCs/>
                <w:iCs/>
                <w:sz w:val="28"/>
                <w:szCs w:val="28"/>
                <w:lang w:val="uk-UA"/>
              </w:rPr>
              <w:t>С</w:t>
            </w:r>
            <w:r w:rsidRPr="00B54A6C">
              <w:rPr>
                <w:bCs/>
                <w:iCs/>
                <w:sz w:val="28"/>
                <w:szCs w:val="28"/>
                <w:lang w:val="uk-UA"/>
              </w:rPr>
              <w:t>убвенція для надання  матеріальної допомоги  сім'ям  загиблих та померлих учасників АТО/ООС на сході України, сім"ям осіб, які загинули або померли внаслідок поранень, каліцтва, контузії чи інших ушкоджень здоров"я, одержаних під час участі у Революції Гідності</w:t>
            </w:r>
          </w:p>
        </w:tc>
        <w:tc>
          <w:tcPr>
            <w:tcW w:w="1302"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590</w:t>
            </w:r>
            <w:r w:rsidR="005650C0">
              <w:rPr>
                <w:bCs/>
                <w:iCs/>
                <w:sz w:val="28"/>
                <w:szCs w:val="28"/>
                <w:lang w:val="uk-UA"/>
              </w:rPr>
              <w:t>,</w:t>
            </w:r>
            <w:r w:rsidRPr="00B54A6C">
              <w:rPr>
                <w:bCs/>
                <w:iCs/>
                <w:sz w:val="28"/>
                <w:szCs w:val="28"/>
                <w:lang w:val="uk-UA"/>
              </w:rPr>
              <w:t>0</w:t>
            </w:r>
          </w:p>
        </w:tc>
        <w:tc>
          <w:tcPr>
            <w:tcW w:w="1276"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590</w:t>
            </w:r>
            <w:r w:rsidR="005650C0">
              <w:rPr>
                <w:bCs/>
                <w:iCs/>
                <w:sz w:val="28"/>
                <w:szCs w:val="28"/>
                <w:lang w:val="uk-UA"/>
              </w:rPr>
              <w:t>,</w:t>
            </w:r>
            <w:r w:rsidRPr="00B54A6C">
              <w:rPr>
                <w:bCs/>
                <w:iCs/>
                <w:sz w:val="28"/>
                <w:szCs w:val="28"/>
                <w:lang w:val="uk-UA"/>
              </w:rPr>
              <w:t>0</w:t>
            </w:r>
          </w:p>
        </w:tc>
        <w:tc>
          <w:tcPr>
            <w:tcW w:w="1275"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590</w:t>
            </w:r>
            <w:r w:rsidR="005650C0">
              <w:rPr>
                <w:bCs/>
                <w:iCs/>
                <w:sz w:val="28"/>
                <w:szCs w:val="28"/>
                <w:lang w:val="uk-UA"/>
              </w:rPr>
              <w:t>,</w:t>
            </w:r>
            <w:r w:rsidRPr="00B54A6C">
              <w:rPr>
                <w:bCs/>
                <w:iCs/>
                <w:sz w:val="28"/>
                <w:szCs w:val="28"/>
                <w:lang w:val="uk-UA"/>
              </w:rPr>
              <w:t>0</w:t>
            </w:r>
          </w:p>
        </w:tc>
      </w:tr>
      <w:tr w:rsidR="00B54A6C" w:rsidRPr="00B54A6C" w:rsidTr="005650C0">
        <w:trPr>
          <w:trHeight w:val="3253"/>
        </w:trPr>
        <w:tc>
          <w:tcPr>
            <w:tcW w:w="5801" w:type="dxa"/>
            <w:tcBorders>
              <w:top w:val="nil"/>
              <w:left w:val="single" w:sz="4" w:space="0" w:color="auto"/>
              <w:bottom w:val="single" w:sz="4" w:space="0" w:color="auto"/>
              <w:right w:val="single" w:sz="4" w:space="0" w:color="auto"/>
            </w:tcBorders>
            <w:shd w:val="clear" w:color="auto" w:fill="auto"/>
            <w:hideMark/>
          </w:tcPr>
          <w:p w:rsidR="00B54A6C" w:rsidRPr="00B54A6C" w:rsidRDefault="00B54A6C" w:rsidP="00B54A6C">
            <w:pPr>
              <w:jc w:val="both"/>
              <w:rPr>
                <w:bCs/>
                <w:iCs/>
                <w:color w:val="000000"/>
                <w:lang w:val="uk-UA"/>
              </w:rPr>
            </w:pPr>
            <w:r w:rsidRPr="00DC7E0E">
              <w:rPr>
                <w:bCs/>
                <w:iCs/>
                <w:color w:val="000000"/>
                <w:sz w:val="28"/>
                <w:szCs w:val="28"/>
                <w:lang w:val="uk-UA"/>
              </w:rPr>
              <w:t>С</w:t>
            </w:r>
            <w:r w:rsidRPr="00B54A6C">
              <w:rPr>
                <w:bCs/>
                <w:iCs/>
                <w:color w:val="000000"/>
                <w:sz w:val="28"/>
                <w:szCs w:val="28"/>
                <w:lang w:val="uk-UA"/>
              </w:rPr>
              <w:t>убвенція надання щомісячної матеріальної допомоги дітям військовослужбовців Збройних Сил України та інших військових формувань, у тому числі добровольчих, які  загинули, пропали безвісті або померли внаслідок поранення, контузії чи каліцтва, одержаних при виконанні службових обов’язків  на тимчасово окупованій території АР Крим, м. Севастополя, під час участі в АТО/ООС  на сході України</w:t>
            </w:r>
          </w:p>
        </w:tc>
        <w:tc>
          <w:tcPr>
            <w:tcW w:w="1302"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504</w:t>
            </w:r>
            <w:r w:rsidR="005650C0">
              <w:rPr>
                <w:bCs/>
                <w:iCs/>
                <w:sz w:val="28"/>
                <w:szCs w:val="28"/>
                <w:lang w:val="uk-UA"/>
              </w:rPr>
              <w:t>,</w:t>
            </w:r>
            <w:r w:rsidRPr="00B54A6C">
              <w:rPr>
                <w:bCs/>
                <w:iCs/>
                <w:sz w:val="28"/>
                <w:szCs w:val="28"/>
                <w:lang w:val="uk-UA"/>
              </w:rPr>
              <w:t>0</w:t>
            </w:r>
          </w:p>
        </w:tc>
        <w:tc>
          <w:tcPr>
            <w:tcW w:w="1276"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504</w:t>
            </w:r>
            <w:r w:rsidR="005650C0">
              <w:rPr>
                <w:bCs/>
                <w:iCs/>
                <w:sz w:val="28"/>
                <w:szCs w:val="28"/>
                <w:lang w:val="uk-UA"/>
              </w:rPr>
              <w:t>,</w:t>
            </w:r>
            <w:r w:rsidRPr="00B54A6C">
              <w:rPr>
                <w:bCs/>
                <w:iCs/>
                <w:sz w:val="28"/>
                <w:szCs w:val="28"/>
                <w:lang w:val="uk-UA"/>
              </w:rPr>
              <w:t>0</w:t>
            </w:r>
          </w:p>
        </w:tc>
        <w:tc>
          <w:tcPr>
            <w:tcW w:w="1275"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504</w:t>
            </w:r>
            <w:r w:rsidR="005650C0">
              <w:rPr>
                <w:bCs/>
                <w:iCs/>
                <w:sz w:val="28"/>
                <w:szCs w:val="28"/>
                <w:lang w:val="uk-UA"/>
              </w:rPr>
              <w:t>,</w:t>
            </w:r>
            <w:r w:rsidRPr="00B54A6C">
              <w:rPr>
                <w:bCs/>
                <w:iCs/>
                <w:sz w:val="28"/>
                <w:szCs w:val="28"/>
                <w:lang w:val="uk-UA"/>
              </w:rPr>
              <w:t>0</w:t>
            </w:r>
          </w:p>
        </w:tc>
      </w:tr>
      <w:tr w:rsidR="00B54A6C" w:rsidRPr="00B54A6C" w:rsidTr="005650C0">
        <w:trPr>
          <w:trHeight w:val="985"/>
        </w:trPr>
        <w:tc>
          <w:tcPr>
            <w:tcW w:w="5801" w:type="dxa"/>
            <w:tcBorders>
              <w:top w:val="nil"/>
              <w:left w:val="single" w:sz="4" w:space="0" w:color="auto"/>
              <w:bottom w:val="single" w:sz="4" w:space="0" w:color="auto"/>
              <w:right w:val="single" w:sz="4" w:space="0" w:color="auto"/>
            </w:tcBorders>
            <w:shd w:val="clear" w:color="auto" w:fill="auto"/>
            <w:hideMark/>
          </w:tcPr>
          <w:p w:rsidR="00B54A6C" w:rsidRPr="00B54A6C" w:rsidRDefault="00B54A6C" w:rsidP="00B54A6C">
            <w:pPr>
              <w:jc w:val="both"/>
              <w:rPr>
                <w:bCs/>
                <w:iCs/>
                <w:color w:val="000000"/>
                <w:lang w:val="uk-UA"/>
              </w:rPr>
            </w:pPr>
            <w:r w:rsidRPr="00DC7E0E">
              <w:rPr>
                <w:bCs/>
                <w:iCs/>
                <w:color w:val="000000"/>
                <w:sz w:val="28"/>
                <w:szCs w:val="28"/>
                <w:lang w:val="uk-UA"/>
              </w:rPr>
              <w:t>С</w:t>
            </w:r>
            <w:r w:rsidRPr="00B54A6C">
              <w:rPr>
                <w:bCs/>
                <w:iCs/>
                <w:color w:val="000000"/>
                <w:sz w:val="28"/>
                <w:szCs w:val="28"/>
                <w:lang w:val="uk-UA"/>
              </w:rPr>
              <w:t>убвенція на пільгове медичне обслуговування громадян, які постраждали внаслідок Чорнобильської катастрофи</w:t>
            </w:r>
          </w:p>
        </w:tc>
        <w:tc>
          <w:tcPr>
            <w:tcW w:w="1302"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869</w:t>
            </w:r>
            <w:r w:rsidR="005650C0">
              <w:rPr>
                <w:bCs/>
                <w:iCs/>
                <w:sz w:val="28"/>
                <w:szCs w:val="28"/>
                <w:lang w:val="uk-UA"/>
              </w:rPr>
              <w:t>,</w:t>
            </w:r>
            <w:r w:rsidRPr="00B54A6C">
              <w:rPr>
                <w:bCs/>
                <w:iCs/>
                <w:sz w:val="28"/>
                <w:szCs w:val="28"/>
                <w:lang w:val="uk-UA"/>
              </w:rPr>
              <w:t>7</w:t>
            </w:r>
          </w:p>
        </w:tc>
        <w:tc>
          <w:tcPr>
            <w:tcW w:w="1276"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921</w:t>
            </w:r>
            <w:r w:rsidR="005650C0">
              <w:rPr>
                <w:bCs/>
                <w:iCs/>
                <w:sz w:val="28"/>
                <w:szCs w:val="28"/>
                <w:lang w:val="uk-UA"/>
              </w:rPr>
              <w:t>,</w:t>
            </w:r>
            <w:r w:rsidRPr="00B54A6C">
              <w:rPr>
                <w:bCs/>
                <w:iCs/>
                <w:sz w:val="28"/>
                <w:szCs w:val="28"/>
                <w:lang w:val="uk-UA"/>
              </w:rPr>
              <w:t>5</w:t>
            </w:r>
          </w:p>
        </w:tc>
        <w:tc>
          <w:tcPr>
            <w:tcW w:w="1275"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961</w:t>
            </w:r>
            <w:r w:rsidR="005650C0">
              <w:rPr>
                <w:bCs/>
                <w:iCs/>
                <w:sz w:val="28"/>
                <w:szCs w:val="28"/>
                <w:lang w:val="uk-UA"/>
              </w:rPr>
              <w:t>,</w:t>
            </w:r>
            <w:r w:rsidRPr="00B54A6C">
              <w:rPr>
                <w:bCs/>
                <w:iCs/>
                <w:sz w:val="28"/>
                <w:szCs w:val="28"/>
                <w:lang w:val="uk-UA"/>
              </w:rPr>
              <w:t>0</w:t>
            </w:r>
          </w:p>
        </w:tc>
      </w:tr>
      <w:tr w:rsidR="00B54A6C" w:rsidRPr="00B54A6C" w:rsidTr="005650C0">
        <w:trPr>
          <w:trHeight w:val="959"/>
        </w:trPr>
        <w:tc>
          <w:tcPr>
            <w:tcW w:w="5801" w:type="dxa"/>
            <w:tcBorders>
              <w:top w:val="nil"/>
              <w:left w:val="single" w:sz="4" w:space="0" w:color="auto"/>
              <w:bottom w:val="single" w:sz="4" w:space="0" w:color="auto"/>
              <w:right w:val="single" w:sz="4" w:space="0" w:color="auto"/>
            </w:tcBorders>
            <w:shd w:val="clear" w:color="auto" w:fill="auto"/>
            <w:hideMark/>
          </w:tcPr>
          <w:p w:rsidR="00B54A6C" w:rsidRPr="00B54A6C" w:rsidRDefault="00B54A6C" w:rsidP="00B54A6C">
            <w:pPr>
              <w:jc w:val="both"/>
              <w:rPr>
                <w:bCs/>
                <w:iCs/>
                <w:color w:val="000000"/>
                <w:lang w:val="uk-UA"/>
              </w:rPr>
            </w:pPr>
            <w:r w:rsidRPr="00DC7E0E">
              <w:rPr>
                <w:bCs/>
                <w:iCs/>
                <w:color w:val="000000"/>
                <w:sz w:val="28"/>
                <w:szCs w:val="28"/>
                <w:lang w:val="uk-UA"/>
              </w:rPr>
              <w:lastRenderedPageBreak/>
              <w:t>С</w:t>
            </w:r>
            <w:r w:rsidRPr="00B54A6C">
              <w:rPr>
                <w:bCs/>
                <w:iCs/>
                <w:color w:val="000000"/>
                <w:sz w:val="28"/>
                <w:szCs w:val="28"/>
                <w:lang w:val="uk-UA"/>
              </w:rPr>
              <w:t>убвенція на відшкодування витрат на поховання учасників бойових дій та осіб з інвалідністю внаслідок війни</w:t>
            </w:r>
          </w:p>
        </w:tc>
        <w:tc>
          <w:tcPr>
            <w:tcW w:w="1302"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375</w:t>
            </w:r>
            <w:r w:rsidR="005650C0">
              <w:rPr>
                <w:bCs/>
                <w:iCs/>
                <w:sz w:val="28"/>
                <w:szCs w:val="28"/>
                <w:lang w:val="uk-UA"/>
              </w:rPr>
              <w:t>,</w:t>
            </w:r>
            <w:r w:rsidRPr="00B54A6C">
              <w:rPr>
                <w:bCs/>
                <w:iCs/>
                <w:sz w:val="28"/>
                <w:szCs w:val="28"/>
                <w:lang w:val="uk-UA"/>
              </w:rPr>
              <w:t>232</w:t>
            </w:r>
          </w:p>
        </w:tc>
        <w:tc>
          <w:tcPr>
            <w:tcW w:w="1276"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406</w:t>
            </w:r>
            <w:r w:rsidR="005650C0">
              <w:rPr>
                <w:bCs/>
                <w:iCs/>
                <w:sz w:val="28"/>
                <w:szCs w:val="28"/>
                <w:lang w:val="uk-UA"/>
              </w:rPr>
              <w:t>,</w:t>
            </w:r>
            <w:r w:rsidRPr="00B54A6C">
              <w:rPr>
                <w:bCs/>
                <w:iCs/>
                <w:sz w:val="28"/>
                <w:szCs w:val="28"/>
                <w:lang w:val="uk-UA"/>
              </w:rPr>
              <w:t>0</w:t>
            </w:r>
          </w:p>
        </w:tc>
        <w:tc>
          <w:tcPr>
            <w:tcW w:w="1275"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435</w:t>
            </w:r>
            <w:r w:rsidR="005650C0">
              <w:rPr>
                <w:bCs/>
                <w:iCs/>
                <w:sz w:val="28"/>
                <w:szCs w:val="28"/>
                <w:lang w:val="uk-UA"/>
              </w:rPr>
              <w:t>,</w:t>
            </w:r>
            <w:r w:rsidRPr="00B54A6C">
              <w:rPr>
                <w:bCs/>
                <w:iCs/>
                <w:sz w:val="28"/>
                <w:szCs w:val="28"/>
                <w:lang w:val="uk-UA"/>
              </w:rPr>
              <w:t>7</w:t>
            </w:r>
          </w:p>
        </w:tc>
      </w:tr>
      <w:tr w:rsidR="00B54A6C" w:rsidRPr="00B54A6C" w:rsidTr="005650C0">
        <w:trPr>
          <w:trHeight w:val="2004"/>
        </w:trPr>
        <w:tc>
          <w:tcPr>
            <w:tcW w:w="5801" w:type="dxa"/>
            <w:tcBorders>
              <w:top w:val="nil"/>
              <w:left w:val="single" w:sz="4" w:space="0" w:color="auto"/>
              <w:bottom w:val="single" w:sz="4" w:space="0" w:color="auto"/>
              <w:right w:val="single" w:sz="4" w:space="0" w:color="auto"/>
            </w:tcBorders>
            <w:shd w:val="clear" w:color="auto" w:fill="auto"/>
            <w:hideMark/>
          </w:tcPr>
          <w:p w:rsidR="00B54A6C" w:rsidRPr="00B54A6C" w:rsidRDefault="00B54A6C" w:rsidP="00B54A6C">
            <w:pPr>
              <w:jc w:val="both"/>
              <w:rPr>
                <w:bCs/>
                <w:iCs/>
                <w:color w:val="000000"/>
                <w:lang w:val="uk-UA"/>
              </w:rPr>
            </w:pPr>
            <w:r w:rsidRPr="00DC7E0E">
              <w:rPr>
                <w:bCs/>
                <w:iCs/>
                <w:color w:val="000000"/>
                <w:sz w:val="28"/>
                <w:szCs w:val="28"/>
                <w:lang w:val="uk-UA"/>
              </w:rPr>
              <w:t>С</w:t>
            </w:r>
            <w:r w:rsidRPr="00B54A6C">
              <w:rPr>
                <w:bCs/>
                <w:iCs/>
                <w:color w:val="000000"/>
                <w:sz w:val="28"/>
                <w:szCs w:val="28"/>
                <w:lang w:val="uk-UA"/>
              </w:rPr>
              <w:t>убвенція на окремі заходи щодо соціального захисту осіб з інвалідністю (грошова компенсація на бензин, ремонт і технічне обслуговування автомобілів та на транспортне обслуговування, встановлення телефонів особам з інвалідністю І та ІІ групи)</w:t>
            </w:r>
          </w:p>
        </w:tc>
        <w:tc>
          <w:tcPr>
            <w:tcW w:w="1302"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245</w:t>
            </w:r>
            <w:r w:rsidR="005650C0">
              <w:rPr>
                <w:bCs/>
                <w:iCs/>
                <w:sz w:val="28"/>
                <w:szCs w:val="28"/>
                <w:lang w:val="uk-UA"/>
              </w:rPr>
              <w:t>,</w:t>
            </w:r>
            <w:r w:rsidRPr="00B54A6C">
              <w:rPr>
                <w:bCs/>
                <w:iCs/>
                <w:sz w:val="28"/>
                <w:szCs w:val="28"/>
                <w:lang w:val="uk-UA"/>
              </w:rPr>
              <w:t>2</w:t>
            </w:r>
          </w:p>
        </w:tc>
        <w:tc>
          <w:tcPr>
            <w:tcW w:w="1276"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245</w:t>
            </w:r>
            <w:r w:rsidR="005650C0">
              <w:rPr>
                <w:bCs/>
                <w:iCs/>
                <w:sz w:val="28"/>
                <w:szCs w:val="28"/>
                <w:lang w:val="uk-UA"/>
              </w:rPr>
              <w:t>,</w:t>
            </w:r>
            <w:r w:rsidRPr="00B54A6C">
              <w:rPr>
                <w:bCs/>
                <w:iCs/>
                <w:sz w:val="28"/>
                <w:szCs w:val="28"/>
                <w:lang w:val="uk-UA"/>
              </w:rPr>
              <w:t>0</w:t>
            </w:r>
          </w:p>
        </w:tc>
        <w:tc>
          <w:tcPr>
            <w:tcW w:w="1275" w:type="dxa"/>
            <w:tcBorders>
              <w:top w:val="nil"/>
              <w:left w:val="nil"/>
              <w:bottom w:val="single" w:sz="4" w:space="0" w:color="auto"/>
              <w:right w:val="single" w:sz="4" w:space="0" w:color="auto"/>
            </w:tcBorders>
            <w:shd w:val="clear" w:color="auto" w:fill="auto"/>
            <w:hideMark/>
          </w:tcPr>
          <w:p w:rsidR="00B54A6C" w:rsidRPr="00B54A6C" w:rsidRDefault="00B54A6C" w:rsidP="005650C0">
            <w:pPr>
              <w:jc w:val="center"/>
              <w:rPr>
                <w:bCs/>
                <w:iCs/>
                <w:lang w:val="uk-UA"/>
              </w:rPr>
            </w:pPr>
            <w:r w:rsidRPr="00B54A6C">
              <w:rPr>
                <w:bCs/>
                <w:iCs/>
                <w:sz w:val="28"/>
                <w:szCs w:val="28"/>
                <w:lang w:val="uk-UA"/>
              </w:rPr>
              <w:t>251</w:t>
            </w:r>
            <w:r w:rsidR="005650C0">
              <w:rPr>
                <w:bCs/>
                <w:iCs/>
                <w:sz w:val="28"/>
                <w:szCs w:val="28"/>
                <w:lang w:val="uk-UA"/>
              </w:rPr>
              <w:t>,</w:t>
            </w:r>
            <w:r w:rsidRPr="00B54A6C">
              <w:rPr>
                <w:bCs/>
                <w:iCs/>
                <w:sz w:val="28"/>
                <w:szCs w:val="28"/>
                <w:lang w:val="uk-UA"/>
              </w:rPr>
              <w:t>7</w:t>
            </w:r>
          </w:p>
        </w:tc>
      </w:tr>
    </w:tbl>
    <w:p w:rsidR="002F5996" w:rsidRPr="00DC7E0E" w:rsidRDefault="002F5996" w:rsidP="00F96494">
      <w:pPr>
        <w:pStyle w:val="a7"/>
        <w:numPr>
          <w:ilvl w:val="1"/>
          <w:numId w:val="7"/>
        </w:numPr>
        <w:shd w:val="clear" w:color="auto" w:fill="FFFFFF"/>
        <w:tabs>
          <w:tab w:val="left" w:pos="993"/>
        </w:tabs>
        <w:ind w:left="0" w:firstLine="709"/>
        <w:jc w:val="both"/>
        <w:rPr>
          <w:sz w:val="28"/>
          <w:szCs w:val="28"/>
          <w:lang w:val="uk-UA"/>
        </w:rPr>
      </w:pPr>
      <w:r w:rsidRPr="00DC7E0E">
        <w:rPr>
          <w:sz w:val="28"/>
          <w:szCs w:val="28"/>
          <w:lang w:val="uk-UA"/>
        </w:rPr>
        <w:t xml:space="preserve">перерахування з бюджету </w:t>
      </w:r>
      <w:r w:rsidR="00852F21" w:rsidRPr="00DC7E0E">
        <w:rPr>
          <w:sz w:val="28"/>
          <w:szCs w:val="28"/>
          <w:lang w:val="uk-UA"/>
        </w:rPr>
        <w:t>Миколаївської</w:t>
      </w:r>
      <w:r w:rsidRPr="00DC7E0E">
        <w:rPr>
          <w:sz w:val="28"/>
          <w:szCs w:val="28"/>
          <w:lang w:val="uk-UA"/>
        </w:rPr>
        <w:t xml:space="preserve"> міської територіальної громади до Державного бюджету України реверсної дотації у 2022 році – </w:t>
      </w:r>
      <w:r w:rsidR="008D7F81" w:rsidRPr="00DC7E0E">
        <w:rPr>
          <w:sz w:val="28"/>
          <w:szCs w:val="28"/>
          <w:lang w:val="uk-UA"/>
        </w:rPr>
        <w:t>144</w:t>
      </w:r>
      <w:r w:rsidRPr="00DC7E0E">
        <w:rPr>
          <w:sz w:val="28"/>
          <w:szCs w:val="28"/>
          <w:lang w:val="uk-UA"/>
        </w:rPr>
        <w:t> </w:t>
      </w:r>
      <w:r w:rsidR="008D7F81" w:rsidRPr="00DC7E0E">
        <w:rPr>
          <w:sz w:val="28"/>
          <w:szCs w:val="28"/>
          <w:lang w:val="uk-UA"/>
        </w:rPr>
        <w:t>951</w:t>
      </w:r>
      <w:r w:rsidRPr="00DC7E0E">
        <w:rPr>
          <w:sz w:val="28"/>
          <w:szCs w:val="28"/>
          <w:lang w:val="uk-UA"/>
        </w:rPr>
        <w:t>,</w:t>
      </w:r>
      <w:r w:rsidR="008D7F81" w:rsidRPr="00DC7E0E">
        <w:rPr>
          <w:sz w:val="28"/>
          <w:szCs w:val="28"/>
          <w:lang w:val="uk-UA"/>
        </w:rPr>
        <w:t>3</w:t>
      </w:r>
      <w:r w:rsidRPr="00DC7E0E">
        <w:rPr>
          <w:sz w:val="28"/>
          <w:szCs w:val="28"/>
          <w:lang w:val="uk-UA"/>
        </w:rPr>
        <w:t xml:space="preserve"> тис. </w:t>
      </w:r>
      <w:proofErr w:type="spellStart"/>
      <w:r w:rsidRPr="00DC7E0E">
        <w:rPr>
          <w:sz w:val="28"/>
          <w:szCs w:val="28"/>
          <w:lang w:val="uk-UA"/>
        </w:rPr>
        <w:t>грн</w:t>
      </w:r>
      <w:proofErr w:type="spellEnd"/>
      <w:r w:rsidRPr="00DC7E0E">
        <w:rPr>
          <w:sz w:val="28"/>
          <w:szCs w:val="28"/>
          <w:lang w:val="uk-UA"/>
        </w:rPr>
        <w:t xml:space="preserve">; у 2023 році – </w:t>
      </w:r>
      <w:r w:rsidR="008D7F81" w:rsidRPr="00DC7E0E">
        <w:rPr>
          <w:sz w:val="28"/>
          <w:szCs w:val="28"/>
          <w:lang w:val="uk-UA"/>
        </w:rPr>
        <w:t>171</w:t>
      </w:r>
      <w:r w:rsidRPr="00DC7E0E">
        <w:rPr>
          <w:sz w:val="28"/>
          <w:szCs w:val="28"/>
          <w:lang w:val="uk-UA"/>
        </w:rPr>
        <w:t> </w:t>
      </w:r>
      <w:r w:rsidR="008D7F81" w:rsidRPr="00DC7E0E">
        <w:rPr>
          <w:sz w:val="28"/>
          <w:szCs w:val="28"/>
          <w:lang w:val="uk-UA"/>
        </w:rPr>
        <w:t>034</w:t>
      </w:r>
      <w:r w:rsidRPr="00DC7E0E">
        <w:rPr>
          <w:sz w:val="28"/>
          <w:szCs w:val="28"/>
          <w:lang w:val="uk-UA"/>
        </w:rPr>
        <w:t>,</w:t>
      </w:r>
      <w:r w:rsidR="008D7F81" w:rsidRPr="00DC7E0E">
        <w:rPr>
          <w:sz w:val="28"/>
          <w:szCs w:val="28"/>
          <w:lang w:val="uk-UA"/>
        </w:rPr>
        <w:t>9</w:t>
      </w:r>
      <w:r w:rsidRPr="00DC7E0E">
        <w:rPr>
          <w:sz w:val="28"/>
          <w:szCs w:val="28"/>
          <w:lang w:val="uk-UA"/>
        </w:rPr>
        <w:t xml:space="preserve"> тис. </w:t>
      </w:r>
      <w:proofErr w:type="spellStart"/>
      <w:r w:rsidRPr="00DC7E0E">
        <w:rPr>
          <w:sz w:val="28"/>
          <w:szCs w:val="28"/>
          <w:lang w:val="uk-UA"/>
        </w:rPr>
        <w:t>грн</w:t>
      </w:r>
      <w:proofErr w:type="spellEnd"/>
      <w:r w:rsidRPr="00DC7E0E">
        <w:rPr>
          <w:sz w:val="28"/>
          <w:szCs w:val="28"/>
          <w:lang w:val="uk-UA"/>
        </w:rPr>
        <w:t xml:space="preserve">; у 2024 році –                </w:t>
      </w:r>
      <w:r w:rsidR="008D7F81" w:rsidRPr="00DC7E0E">
        <w:rPr>
          <w:sz w:val="28"/>
          <w:szCs w:val="28"/>
          <w:lang w:val="uk-UA"/>
        </w:rPr>
        <w:t>201</w:t>
      </w:r>
      <w:r w:rsidRPr="00DC7E0E">
        <w:rPr>
          <w:sz w:val="28"/>
          <w:szCs w:val="28"/>
          <w:lang w:val="uk-UA"/>
        </w:rPr>
        <w:t> </w:t>
      </w:r>
      <w:r w:rsidR="008D7F81" w:rsidRPr="00DC7E0E">
        <w:rPr>
          <w:sz w:val="28"/>
          <w:szCs w:val="28"/>
          <w:lang w:val="uk-UA"/>
        </w:rPr>
        <w:t>921</w:t>
      </w:r>
      <w:r w:rsidRPr="00DC7E0E">
        <w:rPr>
          <w:sz w:val="28"/>
          <w:szCs w:val="28"/>
          <w:lang w:val="uk-UA"/>
        </w:rPr>
        <w:t>,</w:t>
      </w:r>
      <w:r w:rsidR="008D7F81" w:rsidRPr="00DC7E0E">
        <w:rPr>
          <w:sz w:val="28"/>
          <w:szCs w:val="28"/>
          <w:lang w:val="uk-UA"/>
        </w:rPr>
        <w:t>5</w:t>
      </w:r>
      <w:r w:rsidRPr="00DC7E0E">
        <w:rPr>
          <w:sz w:val="28"/>
          <w:szCs w:val="28"/>
          <w:lang w:val="uk-UA"/>
        </w:rPr>
        <w:t xml:space="preserve"> тис. грн.</w:t>
      </w:r>
    </w:p>
    <w:p w:rsidR="00262320" w:rsidRPr="00DC7E0E" w:rsidRDefault="00262320" w:rsidP="00F96494">
      <w:pPr>
        <w:ind w:firstLine="708"/>
        <w:jc w:val="both"/>
        <w:rPr>
          <w:sz w:val="28"/>
          <w:szCs w:val="28"/>
          <w:lang w:val="uk-UA"/>
        </w:rPr>
      </w:pPr>
    </w:p>
    <w:p w:rsidR="00A86C21" w:rsidRDefault="00A86C21" w:rsidP="00F96494">
      <w:pPr>
        <w:ind w:firstLine="708"/>
        <w:jc w:val="both"/>
        <w:rPr>
          <w:sz w:val="28"/>
          <w:szCs w:val="28"/>
          <w:lang w:val="uk-UA"/>
        </w:rPr>
      </w:pPr>
    </w:p>
    <w:p w:rsidR="006B3025" w:rsidRPr="00DC7E0E" w:rsidRDefault="006B3025" w:rsidP="00F96494">
      <w:pPr>
        <w:ind w:firstLine="708"/>
        <w:jc w:val="both"/>
        <w:rPr>
          <w:sz w:val="28"/>
          <w:szCs w:val="28"/>
          <w:lang w:val="uk-UA"/>
        </w:rPr>
      </w:pPr>
    </w:p>
    <w:p w:rsidR="006B3025" w:rsidRDefault="006B3025" w:rsidP="006B3025">
      <w:pPr>
        <w:jc w:val="both"/>
        <w:rPr>
          <w:sz w:val="28"/>
          <w:szCs w:val="28"/>
          <w:lang w:val="uk-UA"/>
        </w:rPr>
      </w:pPr>
      <w:r>
        <w:rPr>
          <w:sz w:val="28"/>
          <w:szCs w:val="28"/>
          <w:lang w:val="uk-UA"/>
        </w:rPr>
        <w:t>Директор департаменту фінансів</w:t>
      </w:r>
    </w:p>
    <w:p w:rsidR="006B3025" w:rsidRPr="00DC7E0E" w:rsidRDefault="006B3025" w:rsidP="006B3025">
      <w:pPr>
        <w:jc w:val="both"/>
        <w:rPr>
          <w:sz w:val="28"/>
          <w:szCs w:val="28"/>
          <w:lang w:val="uk-UA"/>
        </w:rPr>
      </w:pPr>
      <w:r>
        <w:rPr>
          <w:sz w:val="28"/>
          <w:szCs w:val="28"/>
          <w:lang w:val="uk-UA"/>
        </w:rPr>
        <w:t>Миколаївської міської ради                                                      Віра СВЯТЕЛИК</w:t>
      </w:r>
    </w:p>
    <w:sectPr w:rsidR="006B3025" w:rsidRPr="00DC7E0E" w:rsidSect="008E6AF0">
      <w:headerReference w:type="default" r:id="rId8"/>
      <w:pgSz w:w="11906" w:h="16838" w:code="9"/>
      <w:pgMar w:top="1134" w:right="567" w:bottom="1134" w:left="1701" w:header="709" w:footer="19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AF0" w:rsidRDefault="008E6AF0" w:rsidP="001F1DC4">
      <w:r>
        <w:separator/>
      </w:r>
    </w:p>
  </w:endnote>
  <w:endnote w:type="continuationSeparator" w:id="1">
    <w:p w:rsidR="008E6AF0" w:rsidRDefault="008E6AF0" w:rsidP="001F1D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IDFont+F2">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AF0" w:rsidRDefault="008E6AF0" w:rsidP="001F1DC4">
      <w:r>
        <w:separator/>
      </w:r>
    </w:p>
  </w:footnote>
  <w:footnote w:type="continuationSeparator" w:id="1">
    <w:p w:rsidR="008E6AF0" w:rsidRDefault="008E6AF0" w:rsidP="001F1D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96048"/>
      <w:docPartObj>
        <w:docPartGallery w:val="Page Numbers (Top of Page)"/>
        <w:docPartUnique/>
      </w:docPartObj>
    </w:sdtPr>
    <w:sdtContent>
      <w:p w:rsidR="008E6AF0" w:rsidRDefault="003F19B8">
        <w:pPr>
          <w:pStyle w:val="ad"/>
          <w:jc w:val="center"/>
        </w:pPr>
        <w:fldSimple w:instr=" PAGE   \* MERGEFORMAT ">
          <w:r w:rsidR="00802C47">
            <w:rPr>
              <w:noProof/>
            </w:rPr>
            <w:t>6</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12D5"/>
    <w:multiLevelType w:val="hybridMultilevel"/>
    <w:tmpl w:val="47C014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421080C"/>
    <w:multiLevelType w:val="hybridMultilevel"/>
    <w:tmpl w:val="ECF878AA"/>
    <w:lvl w:ilvl="0" w:tplc="9AB8F3F6">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78120E1"/>
    <w:multiLevelType w:val="hybridMultilevel"/>
    <w:tmpl w:val="1B92377A"/>
    <w:lvl w:ilvl="0" w:tplc="E17CD2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3E27E91"/>
    <w:multiLevelType w:val="hybridMultilevel"/>
    <w:tmpl w:val="93082C5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207E487D"/>
    <w:multiLevelType w:val="hybridMultilevel"/>
    <w:tmpl w:val="59CC7B6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24C018A5"/>
    <w:multiLevelType w:val="hybridMultilevel"/>
    <w:tmpl w:val="4A868F9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31BB1C98"/>
    <w:multiLevelType w:val="hybridMultilevel"/>
    <w:tmpl w:val="6D746834"/>
    <w:lvl w:ilvl="0" w:tplc="4C8AB99C">
      <w:start w:val="57"/>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F66B6B"/>
    <w:multiLevelType w:val="hybridMultilevel"/>
    <w:tmpl w:val="7CAC4416"/>
    <w:lvl w:ilvl="0" w:tplc="5C64FF34">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nsid w:val="32B57D3B"/>
    <w:multiLevelType w:val="hybridMultilevel"/>
    <w:tmpl w:val="21762190"/>
    <w:lvl w:ilvl="0" w:tplc="235860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41E3304"/>
    <w:multiLevelType w:val="hybridMultilevel"/>
    <w:tmpl w:val="C194E9C8"/>
    <w:lvl w:ilvl="0" w:tplc="04190009">
      <w:start w:val="1"/>
      <w:numFmt w:val="bullet"/>
      <w:lvlText w:val=""/>
      <w:lvlJc w:val="left"/>
      <w:pPr>
        <w:ind w:left="1428" w:hanging="360"/>
      </w:pPr>
      <w:rPr>
        <w:rFonts w:ascii="Wingdings" w:hAnsi="Wingdings" w:hint="default"/>
      </w:rPr>
    </w:lvl>
    <w:lvl w:ilvl="1" w:tplc="04190001">
      <w:start w:val="1"/>
      <w:numFmt w:val="bullet"/>
      <w:lvlText w:val=""/>
      <w:lvlJc w:val="left"/>
      <w:pPr>
        <w:ind w:left="2148" w:hanging="360"/>
      </w:pPr>
      <w:rPr>
        <w:rFonts w:ascii="Symbol" w:hAnsi="Symbol"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36F45E0B"/>
    <w:multiLevelType w:val="hybridMultilevel"/>
    <w:tmpl w:val="32380B66"/>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1052AD3"/>
    <w:multiLevelType w:val="hybridMultilevel"/>
    <w:tmpl w:val="352EB14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48E954E3"/>
    <w:multiLevelType w:val="hybridMultilevel"/>
    <w:tmpl w:val="4DB22AD6"/>
    <w:lvl w:ilvl="0" w:tplc="23EC8776">
      <w:numFmt w:val="bullet"/>
      <w:lvlText w:val="-"/>
      <w:lvlJc w:val="left"/>
      <w:pPr>
        <w:ind w:left="420" w:hanging="360"/>
      </w:pPr>
      <w:rPr>
        <w:rFonts w:ascii="Calibri" w:eastAsiaTheme="minorHAnsi" w:hAnsi="Calibri" w:cstheme="minorBidi"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3">
    <w:nsid w:val="55486E00"/>
    <w:multiLevelType w:val="hybridMultilevel"/>
    <w:tmpl w:val="7DB28C0E"/>
    <w:lvl w:ilvl="0" w:tplc="5C64FF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355CFD"/>
    <w:multiLevelType w:val="hybridMultilevel"/>
    <w:tmpl w:val="3490CD1C"/>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5">
    <w:nsid w:val="5A4025AB"/>
    <w:multiLevelType w:val="hybridMultilevel"/>
    <w:tmpl w:val="1A60330A"/>
    <w:lvl w:ilvl="0" w:tplc="8BBAC5FE">
      <w:start w:val="202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608D4216"/>
    <w:multiLevelType w:val="hybridMultilevel"/>
    <w:tmpl w:val="FA287728"/>
    <w:lvl w:ilvl="0" w:tplc="0419000B">
      <w:start w:val="1"/>
      <w:numFmt w:val="bullet"/>
      <w:lvlText w:val=""/>
      <w:lvlJc w:val="left"/>
      <w:pPr>
        <w:ind w:left="1365" w:hanging="360"/>
      </w:pPr>
      <w:rPr>
        <w:rFonts w:ascii="Wingdings" w:hAnsi="Wingdings" w:hint="default"/>
      </w:rPr>
    </w:lvl>
    <w:lvl w:ilvl="1" w:tplc="04220003" w:tentative="1">
      <w:start w:val="1"/>
      <w:numFmt w:val="bullet"/>
      <w:lvlText w:val="o"/>
      <w:lvlJc w:val="left"/>
      <w:pPr>
        <w:ind w:left="2085" w:hanging="360"/>
      </w:pPr>
      <w:rPr>
        <w:rFonts w:ascii="Courier New" w:hAnsi="Courier New" w:cs="Courier New" w:hint="default"/>
      </w:rPr>
    </w:lvl>
    <w:lvl w:ilvl="2" w:tplc="04220005" w:tentative="1">
      <w:start w:val="1"/>
      <w:numFmt w:val="bullet"/>
      <w:lvlText w:val=""/>
      <w:lvlJc w:val="left"/>
      <w:pPr>
        <w:ind w:left="2805" w:hanging="360"/>
      </w:pPr>
      <w:rPr>
        <w:rFonts w:ascii="Wingdings" w:hAnsi="Wingdings" w:hint="default"/>
      </w:rPr>
    </w:lvl>
    <w:lvl w:ilvl="3" w:tplc="04220001" w:tentative="1">
      <w:start w:val="1"/>
      <w:numFmt w:val="bullet"/>
      <w:lvlText w:val=""/>
      <w:lvlJc w:val="left"/>
      <w:pPr>
        <w:ind w:left="3525" w:hanging="360"/>
      </w:pPr>
      <w:rPr>
        <w:rFonts w:ascii="Symbol" w:hAnsi="Symbol" w:hint="default"/>
      </w:rPr>
    </w:lvl>
    <w:lvl w:ilvl="4" w:tplc="04220003" w:tentative="1">
      <w:start w:val="1"/>
      <w:numFmt w:val="bullet"/>
      <w:lvlText w:val="o"/>
      <w:lvlJc w:val="left"/>
      <w:pPr>
        <w:ind w:left="4245" w:hanging="360"/>
      </w:pPr>
      <w:rPr>
        <w:rFonts w:ascii="Courier New" w:hAnsi="Courier New" w:cs="Courier New" w:hint="default"/>
      </w:rPr>
    </w:lvl>
    <w:lvl w:ilvl="5" w:tplc="04220005" w:tentative="1">
      <w:start w:val="1"/>
      <w:numFmt w:val="bullet"/>
      <w:lvlText w:val=""/>
      <w:lvlJc w:val="left"/>
      <w:pPr>
        <w:ind w:left="4965" w:hanging="360"/>
      </w:pPr>
      <w:rPr>
        <w:rFonts w:ascii="Wingdings" w:hAnsi="Wingdings" w:hint="default"/>
      </w:rPr>
    </w:lvl>
    <w:lvl w:ilvl="6" w:tplc="04220001" w:tentative="1">
      <w:start w:val="1"/>
      <w:numFmt w:val="bullet"/>
      <w:lvlText w:val=""/>
      <w:lvlJc w:val="left"/>
      <w:pPr>
        <w:ind w:left="5685" w:hanging="360"/>
      </w:pPr>
      <w:rPr>
        <w:rFonts w:ascii="Symbol" w:hAnsi="Symbol" w:hint="default"/>
      </w:rPr>
    </w:lvl>
    <w:lvl w:ilvl="7" w:tplc="04220003" w:tentative="1">
      <w:start w:val="1"/>
      <w:numFmt w:val="bullet"/>
      <w:lvlText w:val="o"/>
      <w:lvlJc w:val="left"/>
      <w:pPr>
        <w:ind w:left="6405" w:hanging="360"/>
      </w:pPr>
      <w:rPr>
        <w:rFonts w:ascii="Courier New" w:hAnsi="Courier New" w:cs="Courier New" w:hint="default"/>
      </w:rPr>
    </w:lvl>
    <w:lvl w:ilvl="8" w:tplc="04220005" w:tentative="1">
      <w:start w:val="1"/>
      <w:numFmt w:val="bullet"/>
      <w:lvlText w:val=""/>
      <w:lvlJc w:val="left"/>
      <w:pPr>
        <w:ind w:left="7125" w:hanging="360"/>
      </w:pPr>
      <w:rPr>
        <w:rFonts w:ascii="Wingdings" w:hAnsi="Wingdings" w:hint="default"/>
      </w:rPr>
    </w:lvl>
  </w:abstractNum>
  <w:abstractNum w:abstractNumId="17">
    <w:nsid w:val="64654DD7"/>
    <w:multiLevelType w:val="hybridMultilevel"/>
    <w:tmpl w:val="68E0EE10"/>
    <w:lvl w:ilvl="0" w:tplc="5CD27B66">
      <w:numFmt w:val="bullet"/>
      <w:lvlText w:val="-"/>
      <w:lvlJc w:val="left"/>
      <w:pPr>
        <w:ind w:left="1494" w:hanging="360"/>
      </w:pPr>
      <w:rPr>
        <w:rFonts w:ascii="Times New Roman" w:eastAsia="Times New Roman" w:hAnsi="Times New Roman" w:cs="Times New Roman" w:hint="default"/>
      </w:rPr>
    </w:lvl>
    <w:lvl w:ilvl="1" w:tplc="20000003" w:tentative="1">
      <w:start w:val="1"/>
      <w:numFmt w:val="bullet"/>
      <w:lvlText w:val="o"/>
      <w:lvlJc w:val="left"/>
      <w:pPr>
        <w:ind w:left="2214" w:hanging="360"/>
      </w:pPr>
      <w:rPr>
        <w:rFonts w:ascii="Courier New" w:hAnsi="Courier New" w:cs="Courier New" w:hint="default"/>
      </w:rPr>
    </w:lvl>
    <w:lvl w:ilvl="2" w:tplc="20000005" w:tentative="1">
      <w:start w:val="1"/>
      <w:numFmt w:val="bullet"/>
      <w:lvlText w:val=""/>
      <w:lvlJc w:val="left"/>
      <w:pPr>
        <w:ind w:left="2934" w:hanging="360"/>
      </w:pPr>
      <w:rPr>
        <w:rFonts w:ascii="Wingdings" w:hAnsi="Wingdings" w:hint="default"/>
      </w:rPr>
    </w:lvl>
    <w:lvl w:ilvl="3" w:tplc="20000001" w:tentative="1">
      <w:start w:val="1"/>
      <w:numFmt w:val="bullet"/>
      <w:lvlText w:val=""/>
      <w:lvlJc w:val="left"/>
      <w:pPr>
        <w:ind w:left="3654" w:hanging="360"/>
      </w:pPr>
      <w:rPr>
        <w:rFonts w:ascii="Symbol" w:hAnsi="Symbol" w:hint="default"/>
      </w:rPr>
    </w:lvl>
    <w:lvl w:ilvl="4" w:tplc="20000003" w:tentative="1">
      <w:start w:val="1"/>
      <w:numFmt w:val="bullet"/>
      <w:lvlText w:val="o"/>
      <w:lvlJc w:val="left"/>
      <w:pPr>
        <w:ind w:left="4374" w:hanging="360"/>
      </w:pPr>
      <w:rPr>
        <w:rFonts w:ascii="Courier New" w:hAnsi="Courier New" w:cs="Courier New" w:hint="default"/>
      </w:rPr>
    </w:lvl>
    <w:lvl w:ilvl="5" w:tplc="20000005" w:tentative="1">
      <w:start w:val="1"/>
      <w:numFmt w:val="bullet"/>
      <w:lvlText w:val=""/>
      <w:lvlJc w:val="left"/>
      <w:pPr>
        <w:ind w:left="5094" w:hanging="360"/>
      </w:pPr>
      <w:rPr>
        <w:rFonts w:ascii="Wingdings" w:hAnsi="Wingdings" w:hint="default"/>
      </w:rPr>
    </w:lvl>
    <w:lvl w:ilvl="6" w:tplc="20000001" w:tentative="1">
      <w:start w:val="1"/>
      <w:numFmt w:val="bullet"/>
      <w:lvlText w:val=""/>
      <w:lvlJc w:val="left"/>
      <w:pPr>
        <w:ind w:left="5814" w:hanging="360"/>
      </w:pPr>
      <w:rPr>
        <w:rFonts w:ascii="Symbol" w:hAnsi="Symbol" w:hint="default"/>
      </w:rPr>
    </w:lvl>
    <w:lvl w:ilvl="7" w:tplc="20000003" w:tentative="1">
      <w:start w:val="1"/>
      <w:numFmt w:val="bullet"/>
      <w:lvlText w:val="o"/>
      <w:lvlJc w:val="left"/>
      <w:pPr>
        <w:ind w:left="6534" w:hanging="360"/>
      </w:pPr>
      <w:rPr>
        <w:rFonts w:ascii="Courier New" w:hAnsi="Courier New" w:cs="Courier New" w:hint="default"/>
      </w:rPr>
    </w:lvl>
    <w:lvl w:ilvl="8" w:tplc="20000005" w:tentative="1">
      <w:start w:val="1"/>
      <w:numFmt w:val="bullet"/>
      <w:lvlText w:val=""/>
      <w:lvlJc w:val="left"/>
      <w:pPr>
        <w:ind w:left="7254" w:hanging="360"/>
      </w:pPr>
      <w:rPr>
        <w:rFonts w:ascii="Wingdings" w:hAnsi="Wingdings" w:hint="default"/>
      </w:rPr>
    </w:lvl>
  </w:abstractNum>
  <w:abstractNum w:abstractNumId="18">
    <w:nsid w:val="6FE908B3"/>
    <w:multiLevelType w:val="hybridMultilevel"/>
    <w:tmpl w:val="1B92377A"/>
    <w:lvl w:ilvl="0" w:tplc="E17CD2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A765805"/>
    <w:multiLevelType w:val="hybridMultilevel"/>
    <w:tmpl w:val="AD58A81A"/>
    <w:lvl w:ilvl="0" w:tplc="4C8AB99C">
      <w:start w:val="57"/>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7AB54E42"/>
    <w:multiLevelType w:val="hybridMultilevel"/>
    <w:tmpl w:val="F17005E4"/>
    <w:lvl w:ilvl="0" w:tplc="5C64FF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7"/>
  </w:num>
  <w:num w:numId="4">
    <w:abstractNumId w:val="20"/>
  </w:num>
  <w:num w:numId="5">
    <w:abstractNumId w:val="18"/>
  </w:num>
  <w:num w:numId="6">
    <w:abstractNumId w:val="2"/>
  </w:num>
  <w:num w:numId="7">
    <w:abstractNumId w:val="9"/>
  </w:num>
  <w:num w:numId="8">
    <w:abstractNumId w:val="4"/>
  </w:num>
  <w:num w:numId="9">
    <w:abstractNumId w:val="11"/>
  </w:num>
  <w:num w:numId="10">
    <w:abstractNumId w:val="16"/>
  </w:num>
  <w:num w:numId="11">
    <w:abstractNumId w:val="12"/>
  </w:num>
  <w:num w:numId="12">
    <w:abstractNumId w:val="5"/>
  </w:num>
  <w:num w:numId="13">
    <w:abstractNumId w:val="3"/>
  </w:num>
  <w:num w:numId="14">
    <w:abstractNumId w:val="7"/>
  </w:num>
  <w:num w:numId="15">
    <w:abstractNumId w:val="13"/>
  </w:num>
  <w:num w:numId="16">
    <w:abstractNumId w:val="1"/>
  </w:num>
  <w:num w:numId="17">
    <w:abstractNumId w:val="6"/>
  </w:num>
  <w:num w:numId="18">
    <w:abstractNumId w:val="15"/>
  </w:num>
  <w:num w:numId="19">
    <w:abstractNumId w:val="19"/>
  </w:num>
  <w:num w:numId="20">
    <w:abstractNumId w:val="10"/>
  </w:num>
  <w:num w:numId="21">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37673D"/>
    <w:rsid w:val="000040B1"/>
    <w:rsid w:val="000058DF"/>
    <w:rsid w:val="00005D71"/>
    <w:rsid w:val="000117C6"/>
    <w:rsid w:val="00013B5E"/>
    <w:rsid w:val="0001632C"/>
    <w:rsid w:val="00021B83"/>
    <w:rsid w:val="00023A94"/>
    <w:rsid w:val="00023DA5"/>
    <w:rsid w:val="00025A76"/>
    <w:rsid w:val="00030876"/>
    <w:rsid w:val="0003477F"/>
    <w:rsid w:val="00042914"/>
    <w:rsid w:val="0004723C"/>
    <w:rsid w:val="0005074A"/>
    <w:rsid w:val="00050EF8"/>
    <w:rsid w:val="000534B3"/>
    <w:rsid w:val="000615F6"/>
    <w:rsid w:val="00061AC2"/>
    <w:rsid w:val="000626E2"/>
    <w:rsid w:val="00063976"/>
    <w:rsid w:val="00064FE4"/>
    <w:rsid w:val="00070323"/>
    <w:rsid w:val="0007392A"/>
    <w:rsid w:val="00081253"/>
    <w:rsid w:val="0008236C"/>
    <w:rsid w:val="00094676"/>
    <w:rsid w:val="00097139"/>
    <w:rsid w:val="000A0077"/>
    <w:rsid w:val="000A3213"/>
    <w:rsid w:val="000A7BF9"/>
    <w:rsid w:val="000B1A9C"/>
    <w:rsid w:val="000B5B6A"/>
    <w:rsid w:val="000C0FBD"/>
    <w:rsid w:val="000C29A9"/>
    <w:rsid w:val="000C3636"/>
    <w:rsid w:val="000C4295"/>
    <w:rsid w:val="000C4A3C"/>
    <w:rsid w:val="000C4A73"/>
    <w:rsid w:val="000C4B93"/>
    <w:rsid w:val="000C568E"/>
    <w:rsid w:val="000D1722"/>
    <w:rsid w:val="000D2906"/>
    <w:rsid w:val="000D4F5B"/>
    <w:rsid w:val="000D64AC"/>
    <w:rsid w:val="000D77D1"/>
    <w:rsid w:val="000E0351"/>
    <w:rsid w:val="000E1BDB"/>
    <w:rsid w:val="000E4204"/>
    <w:rsid w:val="000E4827"/>
    <w:rsid w:val="000E60A9"/>
    <w:rsid w:val="000E7477"/>
    <w:rsid w:val="000E7FB6"/>
    <w:rsid w:val="000F0298"/>
    <w:rsid w:val="000F1F72"/>
    <w:rsid w:val="000F2832"/>
    <w:rsid w:val="000F4EDF"/>
    <w:rsid w:val="000F5FBD"/>
    <w:rsid w:val="000F64E1"/>
    <w:rsid w:val="000F6834"/>
    <w:rsid w:val="00104925"/>
    <w:rsid w:val="00110DF4"/>
    <w:rsid w:val="00112622"/>
    <w:rsid w:val="00114506"/>
    <w:rsid w:val="001146FB"/>
    <w:rsid w:val="0011667A"/>
    <w:rsid w:val="00120FB1"/>
    <w:rsid w:val="001214E0"/>
    <w:rsid w:val="001219BC"/>
    <w:rsid w:val="001220C6"/>
    <w:rsid w:val="00125AA9"/>
    <w:rsid w:val="00127052"/>
    <w:rsid w:val="00127DFE"/>
    <w:rsid w:val="00127E08"/>
    <w:rsid w:val="001336A6"/>
    <w:rsid w:val="00134929"/>
    <w:rsid w:val="001354B7"/>
    <w:rsid w:val="00140258"/>
    <w:rsid w:val="00143F4C"/>
    <w:rsid w:val="0014628E"/>
    <w:rsid w:val="001477D0"/>
    <w:rsid w:val="00147CE3"/>
    <w:rsid w:val="00151CDC"/>
    <w:rsid w:val="00151E8B"/>
    <w:rsid w:val="00153DB1"/>
    <w:rsid w:val="001577AC"/>
    <w:rsid w:val="00161044"/>
    <w:rsid w:val="001632CA"/>
    <w:rsid w:val="00166097"/>
    <w:rsid w:val="001669FD"/>
    <w:rsid w:val="00167A98"/>
    <w:rsid w:val="0017023D"/>
    <w:rsid w:val="00172C6D"/>
    <w:rsid w:val="001771CB"/>
    <w:rsid w:val="00177520"/>
    <w:rsid w:val="00177E6F"/>
    <w:rsid w:val="00184A86"/>
    <w:rsid w:val="001856E5"/>
    <w:rsid w:val="001868A8"/>
    <w:rsid w:val="00190216"/>
    <w:rsid w:val="00192786"/>
    <w:rsid w:val="001A0FE8"/>
    <w:rsid w:val="001A1037"/>
    <w:rsid w:val="001A4B66"/>
    <w:rsid w:val="001A6A23"/>
    <w:rsid w:val="001A6E11"/>
    <w:rsid w:val="001B0AD5"/>
    <w:rsid w:val="001B4BA8"/>
    <w:rsid w:val="001B632D"/>
    <w:rsid w:val="001B7051"/>
    <w:rsid w:val="001C5446"/>
    <w:rsid w:val="001D2F31"/>
    <w:rsid w:val="001D5AE0"/>
    <w:rsid w:val="001D6949"/>
    <w:rsid w:val="001D7A78"/>
    <w:rsid w:val="001E32E5"/>
    <w:rsid w:val="001E4B53"/>
    <w:rsid w:val="001F1D9F"/>
    <w:rsid w:val="001F1DC4"/>
    <w:rsid w:val="001F39D6"/>
    <w:rsid w:val="001F3B39"/>
    <w:rsid w:val="001F4325"/>
    <w:rsid w:val="001F5213"/>
    <w:rsid w:val="001F61CB"/>
    <w:rsid w:val="001F7688"/>
    <w:rsid w:val="002004AD"/>
    <w:rsid w:val="00200DB3"/>
    <w:rsid w:val="002013EA"/>
    <w:rsid w:val="00202BFF"/>
    <w:rsid w:val="00202FD1"/>
    <w:rsid w:val="002035F8"/>
    <w:rsid w:val="002056F2"/>
    <w:rsid w:val="00205F8E"/>
    <w:rsid w:val="0020728E"/>
    <w:rsid w:val="00207347"/>
    <w:rsid w:val="002100BC"/>
    <w:rsid w:val="00211E82"/>
    <w:rsid w:val="00215DEC"/>
    <w:rsid w:val="00217377"/>
    <w:rsid w:val="0022346F"/>
    <w:rsid w:val="002305A0"/>
    <w:rsid w:val="00230D6E"/>
    <w:rsid w:val="00230F7F"/>
    <w:rsid w:val="0023478A"/>
    <w:rsid w:val="0023582D"/>
    <w:rsid w:val="002378E8"/>
    <w:rsid w:val="0024317D"/>
    <w:rsid w:val="00243E4D"/>
    <w:rsid w:val="002440C4"/>
    <w:rsid w:val="00252297"/>
    <w:rsid w:val="00255501"/>
    <w:rsid w:val="00256872"/>
    <w:rsid w:val="0025752F"/>
    <w:rsid w:val="00262320"/>
    <w:rsid w:val="00263F0E"/>
    <w:rsid w:val="002655D7"/>
    <w:rsid w:val="0027025A"/>
    <w:rsid w:val="00272FA8"/>
    <w:rsid w:val="002756F0"/>
    <w:rsid w:val="00275FBA"/>
    <w:rsid w:val="0027761C"/>
    <w:rsid w:val="00281823"/>
    <w:rsid w:val="00282853"/>
    <w:rsid w:val="00282E6C"/>
    <w:rsid w:val="00284039"/>
    <w:rsid w:val="002845C9"/>
    <w:rsid w:val="00285CB7"/>
    <w:rsid w:val="002869BE"/>
    <w:rsid w:val="002930CA"/>
    <w:rsid w:val="00293512"/>
    <w:rsid w:val="00293952"/>
    <w:rsid w:val="00295A35"/>
    <w:rsid w:val="002A3DE0"/>
    <w:rsid w:val="002A4BA0"/>
    <w:rsid w:val="002A62CB"/>
    <w:rsid w:val="002A7647"/>
    <w:rsid w:val="002B0C31"/>
    <w:rsid w:val="002B1812"/>
    <w:rsid w:val="002B1CFD"/>
    <w:rsid w:val="002B1F5A"/>
    <w:rsid w:val="002B4E2B"/>
    <w:rsid w:val="002C014E"/>
    <w:rsid w:val="002C130E"/>
    <w:rsid w:val="002C6F74"/>
    <w:rsid w:val="002D00FB"/>
    <w:rsid w:val="002D0D17"/>
    <w:rsid w:val="002D1A29"/>
    <w:rsid w:val="002D45B0"/>
    <w:rsid w:val="002D5CF7"/>
    <w:rsid w:val="002E3C37"/>
    <w:rsid w:val="002E79F6"/>
    <w:rsid w:val="002E7E40"/>
    <w:rsid w:val="002F516A"/>
    <w:rsid w:val="002F5996"/>
    <w:rsid w:val="002F6335"/>
    <w:rsid w:val="00301529"/>
    <w:rsid w:val="00302FB0"/>
    <w:rsid w:val="00303197"/>
    <w:rsid w:val="00304C8B"/>
    <w:rsid w:val="00305094"/>
    <w:rsid w:val="00307534"/>
    <w:rsid w:val="00307866"/>
    <w:rsid w:val="00307C9C"/>
    <w:rsid w:val="0031017C"/>
    <w:rsid w:val="00310CBF"/>
    <w:rsid w:val="003143D5"/>
    <w:rsid w:val="00314408"/>
    <w:rsid w:val="00317DDF"/>
    <w:rsid w:val="003202BD"/>
    <w:rsid w:val="003211DD"/>
    <w:rsid w:val="00321CB1"/>
    <w:rsid w:val="00322B2C"/>
    <w:rsid w:val="00322E4D"/>
    <w:rsid w:val="003307E6"/>
    <w:rsid w:val="00330C1E"/>
    <w:rsid w:val="00330CD4"/>
    <w:rsid w:val="003361CA"/>
    <w:rsid w:val="00341197"/>
    <w:rsid w:val="00342F36"/>
    <w:rsid w:val="00343E9F"/>
    <w:rsid w:val="00344B75"/>
    <w:rsid w:val="00347DC0"/>
    <w:rsid w:val="00350865"/>
    <w:rsid w:val="003543B7"/>
    <w:rsid w:val="00355B60"/>
    <w:rsid w:val="00356349"/>
    <w:rsid w:val="00364DB2"/>
    <w:rsid w:val="003666EF"/>
    <w:rsid w:val="003724AF"/>
    <w:rsid w:val="00376560"/>
    <w:rsid w:val="0037673D"/>
    <w:rsid w:val="00381496"/>
    <w:rsid w:val="00387E44"/>
    <w:rsid w:val="0039284A"/>
    <w:rsid w:val="003A24D2"/>
    <w:rsid w:val="003A2623"/>
    <w:rsid w:val="003A4D64"/>
    <w:rsid w:val="003A4E68"/>
    <w:rsid w:val="003A6D73"/>
    <w:rsid w:val="003A7690"/>
    <w:rsid w:val="003B1604"/>
    <w:rsid w:val="003B1DEC"/>
    <w:rsid w:val="003B3F16"/>
    <w:rsid w:val="003B3F35"/>
    <w:rsid w:val="003B5F1B"/>
    <w:rsid w:val="003C0065"/>
    <w:rsid w:val="003C2115"/>
    <w:rsid w:val="003C7BEE"/>
    <w:rsid w:val="003D1DAD"/>
    <w:rsid w:val="003D2965"/>
    <w:rsid w:val="003D3BDC"/>
    <w:rsid w:val="003D41C8"/>
    <w:rsid w:val="003D5390"/>
    <w:rsid w:val="003D6316"/>
    <w:rsid w:val="003D6377"/>
    <w:rsid w:val="003D693B"/>
    <w:rsid w:val="003D698B"/>
    <w:rsid w:val="003D725A"/>
    <w:rsid w:val="003E17F4"/>
    <w:rsid w:val="003E197A"/>
    <w:rsid w:val="003E1F12"/>
    <w:rsid w:val="003E2C01"/>
    <w:rsid w:val="003E67EF"/>
    <w:rsid w:val="003E6C73"/>
    <w:rsid w:val="003F07FC"/>
    <w:rsid w:val="003F19B8"/>
    <w:rsid w:val="003F2C7A"/>
    <w:rsid w:val="003F332D"/>
    <w:rsid w:val="003F421D"/>
    <w:rsid w:val="003F56C1"/>
    <w:rsid w:val="003F5866"/>
    <w:rsid w:val="003F67F6"/>
    <w:rsid w:val="00402529"/>
    <w:rsid w:val="00407101"/>
    <w:rsid w:val="00411B15"/>
    <w:rsid w:val="00412D7F"/>
    <w:rsid w:val="00413955"/>
    <w:rsid w:val="00415AE5"/>
    <w:rsid w:val="00423394"/>
    <w:rsid w:val="0042393F"/>
    <w:rsid w:val="004276B8"/>
    <w:rsid w:val="00430DF6"/>
    <w:rsid w:val="004326A4"/>
    <w:rsid w:val="004341B6"/>
    <w:rsid w:val="004348D0"/>
    <w:rsid w:val="004409C5"/>
    <w:rsid w:val="00442363"/>
    <w:rsid w:val="004455F2"/>
    <w:rsid w:val="00451279"/>
    <w:rsid w:val="00451EFB"/>
    <w:rsid w:val="00452D2C"/>
    <w:rsid w:val="004533D7"/>
    <w:rsid w:val="00454CB6"/>
    <w:rsid w:val="00456EE1"/>
    <w:rsid w:val="00457AF5"/>
    <w:rsid w:val="00462BFF"/>
    <w:rsid w:val="00462C83"/>
    <w:rsid w:val="00462EF2"/>
    <w:rsid w:val="00463732"/>
    <w:rsid w:val="00465ED3"/>
    <w:rsid w:val="0047015B"/>
    <w:rsid w:val="00470E50"/>
    <w:rsid w:val="00473E4B"/>
    <w:rsid w:val="00475E5B"/>
    <w:rsid w:val="00482835"/>
    <w:rsid w:val="00484133"/>
    <w:rsid w:val="0048724B"/>
    <w:rsid w:val="00494D6E"/>
    <w:rsid w:val="004950A4"/>
    <w:rsid w:val="004964EE"/>
    <w:rsid w:val="0049780A"/>
    <w:rsid w:val="00497B1E"/>
    <w:rsid w:val="004A204A"/>
    <w:rsid w:val="004A2D35"/>
    <w:rsid w:val="004A6081"/>
    <w:rsid w:val="004B1474"/>
    <w:rsid w:val="004B281F"/>
    <w:rsid w:val="004B63EA"/>
    <w:rsid w:val="004B68B0"/>
    <w:rsid w:val="004C1539"/>
    <w:rsid w:val="004C1601"/>
    <w:rsid w:val="004C1F9E"/>
    <w:rsid w:val="004C27B5"/>
    <w:rsid w:val="004C2AC2"/>
    <w:rsid w:val="004D0D4D"/>
    <w:rsid w:val="004D3800"/>
    <w:rsid w:val="004D5AF2"/>
    <w:rsid w:val="004D616F"/>
    <w:rsid w:val="004D619A"/>
    <w:rsid w:val="004D69AB"/>
    <w:rsid w:val="004E1A35"/>
    <w:rsid w:val="004E1E06"/>
    <w:rsid w:val="004E3942"/>
    <w:rsid w:val="004E560B"/>
    <w:rsid w:val="004E5C65"/>
    <w:rsid w:val="004F07ED"/>
    <w:rsid w:val="004F3F38"/>
    <w:rsid w:val="004F4634"/>
    <w:rsid w:val="004F4DBB"/>
    <w:rsid w:val="00503F36"/>
    <w:rsid w:val="005055CC"/>
    <w:rsid w:val="00505E74"/>
    <w:rsid w:val="00506E1F"/>
    <w:rsid w:val="00510729"/>
    <w:rsid w:val="00512B05"/>
    <w:rsid w:val="005158A7"/>
    <w:rsid w:val="005158F2"/>
    <w:rsid w:val="00515F47"/>
    <w:rsid w:val="00517C25"/>
    <w:rsid w:val="00523B5A"/>
    <w:rsid w:val="00524CCC"/>
    <w:rsid w:val="00525735"/>
    <w:rsid w:val="005259E0"/>
    <w:rsid w:val="00525FC5"/>
    <w:rsid w:val="005309E4"/>
    <w:rsid w:val="00530C5E"/>
    <w:rsid w:val="00532554"/>
    <w:rsid w:val="00533153"/>
    <w:rsid w:val="00535578"/>
    <w:rsid w:val="0054092E"/>
    <w:rsid w:val="0054114C"/>
    <w:rsid w:val="0054422A"/>
    <w:rsid w:val="00544ED6"/>
    <w:rsid w:val="00550D70"/>
    <w:rsid w:val="00551B7D"/>
    <w:rsid w:val="00552C82"/>
    <w:rsid w:val="00553CDB"/>
    <w:rsid w:val="00554F0D"/>
    <w:rsid w:val="005561D2"/>
    <w:rsid w:val="005570D6"/>
    <w:rsid w:val="0056127B"/>
    <w:rsid w:val="00562633"/>
    <w:rsid w:val="00564A75"/>
    <w:rsid w:val="005650C0"/>
    <w:rsid w:val="005659DF"/>
    <w:rsid w:val="00565B86"/>
    <w:rsid w:val="00565F25"/>
    <w:rsid w:val="00567404"/>
    <w:rsid w:val="0056778F"/>
    <w:rsid w:val="00572F90"/>
    <w:rsid w:val="0057311F"/>
    <w:rsid w:val="00573E5F"/>
    <w:rsid w:val="00577042"/>
    <w:rsid w:val="00577B14"/>
    <w:rsid w:val="00581DD0"/>
    <w:rsid w:val="005823CD"/>
    <w:rsid w:val="005824A5"/>
    <w:rsid w:val="00583947"/>
    <w:rsid w:val="005860B3"/>
    <w:rsid w:val="00590EAC"/>
    <w:rsid w:val="00594C09"/>
    <w:rsid w:val="005954C7"/>
    <w:rsid w:val="005A0F8F"/>
    <w:rsid w:val="005A3618"/>
    <w:rsid w:val="005A475B"/>
    <w:rsid w:val="005A4D85"/>
    <w:rsid w:val="005A7328"/>
    <w:rsid w:val="005B0AA4"/>
    <w:rsid w:val="005B0D62"/>
    <w:rsid w:val="005B33EA"/>
    <w:rsid w:val="005B3C52"/>
    <w:rsid w:val="005B4286"/>
    <w:rsid w:val="005B71E6"/>
    <w:rsid w:val="005C47AA"/>
    <w:rsid w:val="005D101F"/>
    <w:rsid w:val="005D12C7"/>
    <w:rsid w:val="005D60FC"/>
    <w:rsid w:val="005D788E"/>
    <w:rsid w:val="005E73D5"/>
    <w:rsid w:val="005E7D55"/>
    <w:rsid w:val="005F5F18"/>
    <w:rsid w:val="005F62B5"/>
    <w:rsid w:val="005F7595"/>
    <w:rsid w:val="00602E6B"/>
    <w:rsid w:val="006044E5"/>
    <w:rsid w:val="006063D7"/>
    <w:rsid w:val="00607777"/>
    <w:rsid w:val="00607A94"/>
    <w:rsid w:val="0061117E"/>
    <w:rsid w:val="006113B3"/>
    <w:rsid w:val="006118FD"/>
    <w:rsid w:val="00616F38"/>
    <w:rsid w:val="00621CEE"/>
    <w:rsid w:val="006221A5"/>
    <w:rsid w:val="00622348"/>
    <w:rsid w:val="00622DB8"/>
    <w:rsid w:val="00624814"/>
    <w:rsid w:val="006273F9"/>
    <w:rsid w:val="0062780C"/>
    <w:rsid w:val="00630B71"/>
    <w:rsid w:val="00631C84"/>
    <w:rsid w:val="006323AD"/>
    <w:rsid w:val="006327B8"/>
    <w:rsid w:val="00635107"/>
    <w:rsid w:val="00635EBA"/>
    <w:rsid w:val="00636453"/>
    <w:rsid w:val="00637664"/>
    <w:rsid w:val="006417DD"/>
    <w:rsid w:val="006431FA"/>
    <w:rsid w:val="00643F9E"/>
    <w:rsid w:val="0064413F"/>
    <w:rsid w:val="00645676"/>
    <w:rsid w:val="00647E74"/>
    <w:rsid w:val="00651396"/>
    <w:rsid w:val="00655971"/>
    <w:rsid w:val="00656594"/>
    <w:rsid w:val="0065675A"/>
    <w:rsid w:val="006570D8"/>
    <w:rsid w:val="006601E5"/>
    <w:rsid w:val="0066258F"/>
    <w:rsid w:val="0066329C"/>
    <w:rsid w:val="00664853"/>
    <w:rsid w:val="00667D7D"/>
    <w:rsid w:val="0067214F"/>
    <w:rsid w:val="00681B1B"/>
    <w:rsid w:val="00682227"/>
    <w:rsid w:val="00682700"/>
    <w:rsid w:val="006828A6"/>
    <w:rsid w:val="00683A1A"/>
    <w:rsid w:val="0069438F"/>
    <w:rsid w:val="006A3B12"/>
    <w:rsid w:val="006A7FCF"/>
    <w:rsid w:val="006B0356"/>
    <w:rsid w:val="006B1697"/>
    <w:rsid w:val="006B3025"/>
    <w:rsid w:val="006B3D20"/>
    <w:rsid w:val="006B4481"/>
    <w:rsid w:val="006B5256"/>
    <w:rsid w:val="006B5AF7"/>
    <w:rsid w:val="006B6A61"/>
    <w:rsid w:val="006C3266"/>
    <w:rsid w:val="006C4EDD"/>
    <w:rsid w:val="006C58CC"/>
    <w:rsid w:val="006C5C9C"/>
    <w:rsid w:val="006C6062"/>
    <w:rsid w:val="006D3A10"/>
    <w:rsid w:val="006D541C"/>
    <w:rsid w:val="006D5794"/>
    <w:rsid w:val="006D76F2"/>
    <w:rsid w:val="006E23B2"/>
    <w:rsid w:val="006E384D"/>
    <w:rsid w:val="006E3D0D"/>
    <w:rsid w:val="006E6A79"/>
    <w:rsid w:val="006E7F0B"/>
    <w:rsid w:val="006F2CCA"/>
    <w:rsid w:val="006F347F"/>
    <w:rsid w:val="006F4480"/>
    <w:rsid w:val="00700244"/>
    <w:rsid w:val="007027E5"/>
    <w:rsid w:val="00703C5C"/>
    <w:rsid w:val="007052BB"/>
    <w:rsid w:val="007111FD"/>
    <w:rsid w:val="0071540A"/>
    <w:rsid w:val="00716AAA"/>
    <w:rsid w:val="007212BF"/>
    <w:rsid w:val="0072306B"/>
    <w:rsid w:val="00725A76"/>
    <w:rsid w:val="00725FF6"/>
    <w:rsid w:val="00727ADB"/>
    <w:rsid w:val="00732522"/>
    <w:rsid w:val="00733B2F"/>
    <w:rsid w:val="00743A9E"/>
    <w:rsid w:val="007452E9"/>
    <w:rsid w:val="00747669"/>
    <w:rsid w:val="00750DA5"/>
    <w:rsid w:val="00754853"/>
    <w:rsid w:val="00754CB8"/>
    <w:rsid w:val="00756C40"/>
    <w:rsid w:val="007570FA"/>
    <w:rsid w:val="00760975"/>
    <w:rsid w:val="00760CFA"/>
    <w:rsid w:val="00766645"/>
    <w:rsid w:val="00770187"/>
    <w:rsid w:val="0077065D"/>
    <w:rsid w:val="00791628"/>
    <w:rsid w:val="007924BC"/>
    <w:rsid w:val="007941C8"/>
    <w:rsid w:val="00795CE7"/>
    <w:rsid w:val="007972F5"/>
    <w:rsid w:val="00797351"/>
    <w:rsid w:val="007A28B3"/>
    <w:rsid w:val="007A492C"/>
    <w:rsid w:val="007A4B60"/>
    <w:rsid w:val="007A4CB9"/>
    <w:rsid w:val="007A62CD"/>
    <w:rsid w:val="007A763D"/>
    <w:rsid w:val="007B16A6"/>
    <w:rsid w:val="007B1A67"/>
    <w:rsid w:val="007B260C"/>
    <w:rsid w:val="007B2E4B"/>
    <w:rsid w:val="007B416C"/>
    <w:rsid w:val="007B4B6D"/>
    <w:rsid w:val="007B56BC"/>
    <w:rsid w:val="007B7666"/>
    <w:rsid w:val="007B7942"/>
    <w:rsid w:val="007C3D56"/>
    <w:rsid w:val="007D15AB"/>
    <w:rsid w:val="007D28B7"/>
    <w:rsid w:val="007D5629"/>
    <w:rsid w:val="007D6E9F"/>
    <w:rsid w:val="007D7DDE"/>
    <w:rsid w:val="007E16E2"/>
    <w:rsid w:val="007E38FD"/>
    <w:rsid w:val="007E43AB"/>
    <w:rsid w:val="007E6341"/>
    <w:rsid w:val="007E77E7"/>
    <w:rsid w:val="007F43E4"/>
    <w:rsid w:val="007F4F94"/>
    <w:rsid w:val="008007BA"/>
    <w:rsid w:val="008010F6"/>
    <w:rsid w:val="00801400"/>
    <w:rsid w:val="00802094"/>
    <w:rsid w:val="00802C47"/>
    <w:rsid w:val="00805203"/>
    <w:rsid w:val="008058ED"/>
    <w:rsid w:val="00806F5C"/>
    <w:rsid w:val="00813750"/>
    <w:rsid w:val="00815A1F"/>
    <w:rsid w:val="00815DEA"/>
    <w:rsid w:val="0082152F"/>
    <w:rsid w:val="00821922"/>
    <w:rsid w:val="0082239C"/>
    <w:rsid w:val="00824F54"/>
    <w:rsid w:val="008260BB"/>
    <w:rsid w:val="00826535"/>
    <w:rsid w:val="00831205"/>
    <w:rsid w:val="008336F0"/>
    <w:rsid w:val="00834132"/>
    <w:rsid w:val="0083450D"/>
    <w:rsid w:val="00835478"/>
    <w:rsid w:val="00836375"/>
    <w:rsid w:val="00836B07"/>
    <w:rsid w:val="00836E4C"/>
    <w:rsid w:val="00841B86"/>
    <w:rsid w:val="00845D55"/>
    <w:rsid w:val="00846AEB"/>
    <w:rsid w:val="008470E0"/>
    <w:rsid w:val="00850841"/>
    <w:rsid w:val="00850A15"/>
    <w:rsid w:val="00852A21"/>
    <w:rsid w:val="00852F21"/>
    <w:rsid w:val="00853BB0"/>
    <w:rsid w:val="0085585F"/>
    <w:rsid w:val="00856310"/>
    <w:rsid w:val="00857A9D"/>
    <w:rsid w:val="00857CD8"/>
    <w:rsid w:val="00862C64"/>
    <w:rsid w:val="00862FE9"/>
    <w:rsid w:val="00863182"/>
    <w:rsid w:val="00864F5B"/>
    <w:rsid w:val="00870F08"/>
    <w:rsid w:val="00871801"/>
    <w:rsid w:val="008725CB"/>
    <w:rsid w:val="0087409F"/>
    <w:rsid w:val="00882AF5"/>
    <w:rsid w:val="00882CB6"/>
    <w:rsid w:val="008848A5"/>
    <w:rsid w:val="0088543B"/>
    <w:rsid w:val="008864A1"/>
    <w:rsid w:val="008871C6"/>
    <w:rsid w:val="00887DE4"/>
    <w:rsid w:val="00891784"/>
    <w:rsid w:val="00891F0A"/>
    <w:rsid w:val="00895FD7"/>
    <w:rsid w:val="00896200"/>
    <w:rsid w:val="008A1718"/>
    <w:rsid w:val="008A2621"/>
    <w:rsid w:val="008A2A50"/>
    <w:rsid w:val="008A465E"/>
    <w:rsid w:val="008A5C90"/>
    <w:rsid w:val="008B0A2A"/>
    <w:rsid w:val="008B2F13"/>
    <w:rsid w:val="008B3FBA"/>
    <w:rsid w:val="008B6EBE"/>
    <w:rsid w:val="008C032A"/>
    <w:rsid w:val="008C28B4"/>
    <w:rsid w:val="008C6EE9"/>
    <w:rsid w:val="008C72D4"/>
    <w:rsid w:val="008D21E7"/>
    <w:rsid w:val="008D3C2D"/>
    <w:rsid w:val="008D5E66"/>
    <w:rsid w:val="008D7F81"/>
    <w:rsid w:val="008E3E6D"/>
    <w:rsid w:val="008E564E"/>
    <w:rsid w:val="008E567A"/>
    <w:rsid w:val="008E6AF0"/>
    <w:rsid w:val="008F1AD9"/>
    <w:rsid w:val="008F43CD"/>
    <w:rsid w:val="008F4740"/>
    <w:rsid w:val="008F59D0"/>
    <w:rsid w:val="008F5A63"/>
    <w:rsid w:val="008F7106"/>
    <w:rsid w:val="008F7921"/>
    <w:rsid w:val="00904662"/>
    <w:rsid w:val="00904B9C"/>
    <w:rsid w:val="00906D11"/>
    <w:rsid w:val="00910F66"/>
    <w:rsid w:val="009118C0"/>
    <w:rsid w:val="00915F33"/>
    <w:rsid w:val="00923B79"/>
    <w:rsid w:val="009245CA"/>
    <w:rsid w:val="009314DB"/>
    <w:rsid w:val="0093166E"/>
    <w:rsid w:val="00931836"/>
    <w:rsid w:val="00932755"/>
    <w:rsid w:val="00933D7A"/>
    <w:rsid w:val="00935B1E"/>
    <w:rsid w:val="00937559"/>
    <w:rsid w:val="009443C0"/>
    <w:rsid w:val="009455AA"/>
    <w:rsid w:val="009456C0"/>
    <w:rsid w:val="00955580"/>
    <w:rsid w:val="00955D52"/>
    <w:rsid w:val="00957D70"/>
    <w:rsid w:val="00963C1F"/>
    <w:rsid w:val="00970686"/>
    <w:rsid w:val="00971522"/>
    <w:rsid w:val="009721EB"/>
    <w:rsid w:val="00972725"/>
    <w:rsid w:val="009731C7"/>
    <w:rsid w:val="009744A3"/>
    <w:rsid w:val="00974DDF"/>
    <w:rsid w:val="00975837"/>
    <w:rsid w:val="00975A70"/>
    <w:rsid w:val="00975BDD"/>
    <w:rsid w:val="00977816"/>
    <w:rsid w:val="00977E9A"/>
    <w:rsid w:val="009834EF"/>
    <w:rsid w:val="00983B53"/>
    <w:rsid w:val="00983E8A"/>
    <w:rsid w:val="0098524F"/>
    <w:rsid w:val="009854E5"/>
    <w:rsid w:val="00987F6A"/>
    <w:rsid w:val="00990C3A"/>
    <w:rsid w:val="00993A44"/>
    <w:rsid w:val="0099469F"/>
    <w:rsid w:val="009962AF"/>
    <w:rsid w:val="009A0CEB"/>
    <w:rsid w:val="009A43DD"/>
    <w:rsid w:val="009A5E3B"/>
    <w:rsid w:val="009B0B62"/>
    <w:rsid w:val="009B0D5C"/>
    <w:rsid w:val="009B1073"/>
    <w:rsid w:val="009B2526"/>
    <w:rsid w:val="009B343C"/>
    <w:rsid w:val="009C0EB5"/>
    <w:rsid w:val="009C2313"/>
    <w:rsid w:val="009C3C33"/>
    <w:rsid w:val="009C6A7E"/>
    <w:rsid w:val="009C6AF8"/>
    <w:rsid w:val="009D1712"/>
    <w:rsid w:val="009D1CDB"/>
    <w:rsid w:val="009D34C2"/>
    <w:rsid w:val="009D5F72"/>
    <w:rsid w:val="009D7F91"/>
    <w:rsid w:val="009E05A7"/>
    <w:rsid w:val="009E0E2A"/>
    <w:rsid w:val="009E234A"/>
    <w:rsid w:val="009E3BA0"/>
    <w:rsid w:val="009E3FB0"/>
    <w:rsid w:val="009E5B0B"/>
    <w:rsid w:val="009F1EE6"/>
    <w:rsid w:val="009F23D3"/>
    <w:rsid w:val="00A022A0"/>
    <w:rsid w:val="00A031E2"/>
    <w:rsid w:val="00A0337D"/>
    <w:rsid w:val="00A03C49"/>
    <w:rsid w:val="00A04220"/>
    <w:rsid w:val="00A06F56"/>
    <w:rsid w:val="00A10EFC"/>
    <w:rsid w:val="00A15E51"/>
    <w:rsid w:val="00A165FD"/>
    <w:rsid w:val="00A170D6"/>
    <w:rsid w:val="00A204BB"/>
    <w:rsid w:val="00A25F48"/>
    <w:rsid w:val="00A264F4"/>
    <w:rsid w:val="00A276F3"/>
    <w:rsid w:val="00A309A9"/>
    <w:rsid w:val="00A313EE"/>
    <w:rsid w:val="00A340B8"/>
    <w:rsid w:val="00A34756"/>
    <w:rsid w:val="00A350A2"/>
    <w:rsid w:val="00A351CC"/>
    <w:rsid w:val="00A3541A"/>
    <w:rsid w:val="00A356AF"/>
    <w:rsid w:val="00A411C8"/>
    <w:rsid w:val="00A500F4"/>
    <w:rsid w:val="00A52F98"/>
    <w:rsid w:val="00A5472B"/>
    <w:rsid w:val="00A57E4A"/>
    <w:rsid w:val="00A60323"/>
    <w:rsid w:val="00A71583"/>
    <w:rsid w:val="00A71D83"/>
    <w:rsid w:val="00A72BF6"/>
    <w:rsid w:val="00A7348D"/>
    <w:rsid w:val="00A734EA"/>
    <w:rsid w:val="00A7520E"/>
    <w:rsid w:val="00A8259F"/>
    <w:rsid w:val="00A82F3D"/>
    <w:rsid w:val="00A833B2"/>
    <w:rsid w:val="00A850F6"/>
    <w:rsid w:val="00A85BAD"/>
    <w:rsid w:val="00A869BF"/>
    <w:rsid w:val="00A86C21"/>
    <w:rsid w:val="00A9124B"/>
    <w:rsid w:val="00A94CEC"/>
    <w:rsid w:val="00A9631C"/>
    <w:rsid w:val="00A963A0"/>
    <w:rsid w:val="00AA1D9B"/>
    <w:rsid w:val="00AA455B"/>
    <w:rsid w:val="00AA4A4B"/>
    <w:rsid w:val="00AB076A"/>
    <w:rsid w:val="00AB0D9E"/>
    <w:rsid w:val="00AB1ECD"/>
    <w:rsid w:val="00AB4B18"/>
    <w:rsid w:val="00AB53A3"/>
    <w:rsid w:val="00AB6214"/>
    <w:rsid w:val="00AC1121"/>
    <w:rsid w:val="00AC1533"/>
    <w:rsid w:val="00AC42FD"/>
    <w:rsid w:val="00AC757B"/>
    <w:rsid w:val="00AD1118"/>
    <w:rsid w:val="00AD7EA8"/>
    <w:rsid w:val="00AE0ABF"/>
    <w:rsid w:val="00AE2DEC"/>
    <w:rsid w:val="00AE41F8"/>
    <w:rsid w:val="00AE5DFD"/>
    <w:rsid w:val="00AE5E0F"/>
    <w:rsid w:val="00AF01A7"/>
    <w:rsid w:val="00AF3820"/>
    <w:rsid w:val="00AF75E2"/>
    <w:rsid w:val="00B0024C"/>
    <w:rsid w:val="00B050B9"/>
    <w:rsid w:val="00B05C9E"/>
    <w:rsid w:val="00B108AF"/>
    <w:rsid w:val="00B13F4A"/>
    <w:rsid w:val="00B14724"/>
    <w:rsid w:val="00B14D35"/>
    <w:rsid w:val="00B16DE9"/>
    <w:rsid w:val="00B241D2"/>
    <w:rsid w:val="00B243D1"/>
    <w:rsid w:val="00B25644"/>
    <w:rsid w:val="00B25E61"/>
    <w:rsid w:val="00B304D6"/>
    <w:rsid w:val="00B3212C"/>
    <w:rsid w:val="00B3376A"/>
    <w:rsid w:val="00B33D02"/>
    <w:rsid w:val="00B3535A"/>
    <w:rsid w:val="00B37B68"/>
    <w:rsid w:val="00B37BD3"/>
    <w:rsid w:val="00B37C20"/>
    <w:rsid w:val="00B41A28"/>
    <w:rsid w:val="00B41C0C"/>
    <w:rsid w:val="00B41E1E"/>
    <w:rsid w:val="00B4518A"/>
    <w:rsid w:val="00B45464"/>
    <w:rsid w:val="00B47BAD"/>
    <w:rsid w:val="00B47C9A"/>
    <w:rsid w:val="00B54A6C"/>
    <w:rsid w:val="00B55557"/>
    <w:rsid w:val="00B56DB7"/>
    <w:rsid w:val="00B57EBF"/>
    <w:rsid w:val="00B62211"/>
    <w:rsid w:val="00B628AB"/>
    <w:rsid w:val="00B70152"/>
    <w:rsid w:val="00B711D6"/>
    <w:rsid w:val="00B72110"/>
    <w:rsid w:val="00B72BC4"/>
    <w:rsid w:val="00B7364E"/>
    <w:rsid w:val="00B74EC8"/>
    <w:rsid w:val="00B77E61"/>
    <w:rsid w:val="00B84A87"/>
    <w:rsid w:val="00B84B89"/>
    <w:rsid w:val="00B86BED"/>
    <w:rsid w:val="00B913C8"/>
    <w:rsid w:val="00B93E49"/>
    <w:rsid w:val="00B95E60"/>
    <w:rsid w:val="00B96CF6"/>
    <w:rsid w:val="00B97172"/>
    <w:rsid w:val="00B975F8"/>
    <w:rsid w:val="00B97EA2"/>
    <w:rsid w:val="00BA036F"/>
    <w:rsid w:val="00BA047A"/>
    <w:rsid w:val="00BA04DA"/>
    <w:rsid w:val="00BA5ED4"/>
    <w:rsid w:val="00BA6093"/>
    <w:rsid w:val="00BA7084"/>
    <w:rsid w:val="00BB0482"/>
    <w:rsid w:val="00BB264C"/>
    <w:rsid w:val="00BB37C3"/>
    <w:rsid w:val="00BB6A56"/>
    <w:rsid w:val="00BB729B"/>
    <w:rsid w:val="00BC27B2"/>
    <w:rsid w:val="00BC361C"/>
    <w:rsid w:val="00BC38F6"/>
    <w:rsid w:val="00BC4B93"/>
    <w:rsid w:val="00BD08F7"/>
    <w:rsid w:val="00BD1736"/>
    <w:rsid w:val="00BD226F"/>
    <w:rsid w:val="00BD278A"/>
    <w:rsid w:val="00BD338B"/>
    <w:rsid w:val="00BD369F"/>
    <w:rsid w:val="00BD543C"/>
    <w:rsid w:val="00BD54A6"/>
    <w:rsid w:val="00BD5998"/>
    <w:rsid w:val="00BD5A0A"/>
    <w:rsid w:val="00BD6C1C"/>
    <w:rsid w:val="00BE3F1E"/>
    <w:rsid w:val="00BE711A"/>
    <w:rsid w:val="00BF2D28"/>
    <w:rsid w:val="00C02F87"/>
    <w:rsid w:val="00C04F63"/>
    <w:rsid w:val="00C06EB4"/>
    <w:rsid w:val="00C100AD"/>
    <w:rsid w:val="00C1297C"/>
    <w:rsid w:val="00C139CD"/>
    <w:rsid w:val="00C13A12"/>
    <w:rsid w:val="00C15DBC"/>
    <w:rsid w:val="00C17B26"/>
    <w:rsid w:val="00C25FD0"/>
    <w:rsid w:val="00C2624D"/>
    <w:rsid w:val="00C27E2D"/>
    <w:rsid w:val="00C32EAB"/>
    <w:rsid w:val="00C42DCD"/>
    <w:rsid w:val="00C43C51"/>
    <w:rsid w:val="00C46D68"/>
    <w:rsid w:val="00C46E93"/>
    <w:rsid w:val="00C508B0"/>
    <w:rsid w:val="00C518B8"/>
    <w:rsid w:val="00C52D10"/>
    <w:rsid w:val="00C53572"/>
    <w:rsid w:val="00C63644"/>
    <w:rsid w:val="00C63FED"/>
    <w:rsid w:val="00C64A7D"/>
    <w:rsid w:val="00C65521"/>
    <w:rsid w:val="00C662B9"/>
    <w:rsid w:val="00C67FA8"/>
    <w:rsid w:val="00C70B69"/>
    <w:rsid w:val="00C72932"/>
    <w:rsid w:val="00C72E1B"/>
    <w:rsid w:val="00C743C1"/>
    <w:rsid w:val="00C74A52"/>
    <w:rsid w:val="00C76346"/>
    <w:rsid w:val="00C76E71"/>
    <w:rsid w:val="00C82D12"/>
    <w:rsid w:val="00C83847"/>
    <w:rsid w:val="00C85F32"/>
    <w:rsid w:val="00C8732F"/>
    <w:rsid w:val="00C873C6"/>
    <w:rsid w:val="00C8776F"/>
    <w:rsid w:val="00C87DD7"/>
    <w:rsid w:val="00C90B99"/>
    <w:rsid w:val="00C91811"/>
    <w:rsid w:val="00CA16BF"/>
    <w:rsid w:val="00CA19D3"/>
    <w:rsid w:val="00CA2E00"/>
    <w:rsid w:val="00CA3AA8"/>
    <w:rsid w:val="00CA4156"/>
    <w:rsid w:val="00CA6C53"/>
    <w:rsid w:val="00CA7434"/>
    <w:rsid w:val="00CB07B9"/>
    <w:rsid w:val="00CB35F3"/>
    <w:rsid w:val="00CB50DE"/>
    <w:rsid w:val="00CB5C5A"/>
    <w:rsid w:val="00CC0B4E"/>
    <w:rsid w:val="00CC2F7D"/>
    <w:rsid w:val="00CC5550"/>
    <w:rsid w:val="00CC5B4A"/>
    <w:rsid w:val="00CC718B"/>
    <w:rsid w:val="00CC7482"/>
    <w:rsid w:val="00CD04C1"/>
    <w:rsid w:val="00CD3505"/>
    <w:rsid w:val="00CD433C"/>
    <w:rsid w:val="00CE043D"/>
    <w:rsid w:val="00CE45FD"/>
    <w:rsid w:val="00CE4814"/>
    <w:rsid w:val="00CE68FB"/>
    <w:rsid w:val="00CF23A7"/>
    <w:rsid w:val="00CF7F40"/>
    <w:rsid w:val="00D008D0"/>
    <w:rsid w:val="00D01256"/>
    <w:rsid w:val="00D0128D"/>
    <w:rsid w:val="00D03CB5"/>
    <w:rsid w:val="00D05410"/>
    <w:rsid w:val="00D129B7"/>
    <w:rsid w:val="00D1452F"/>
    <w:rsid w:val="00D14BF8"/>
    <w:rsid w:val="00D15E14"/>
    <w:rsid w:val="00D21854"/>
    <w:rsid w:val="00D218F0"/>
    <w:rsid w:val="00D2254E"/>
    <w:rsid w:val="00D241B9"/>
    <w:rsid w:val="00D24D6A"/>
    <w:rsid w:val="00D25EE4"/>
    <w:rsid w:val="00D3408C"/>
    <w:rsid w:val="00D34199"/>
    <w:rsid w:val="00D342B7"/>
    <w:rsid w:val="00D365D1"/>
    <w:rsid w:val="00D37617"/>
    <w:rsid w:val="00D41E0F"/>
    <w:rsid w:val="00D43141"/>
    <w:rsid w:val="00D439D0"/>
    <w:rsid w:val="00D44D0C"/>
    <w:rsid w:val="00D513DF"/>
    <w:rsid w:val="00D53D34"/>
    <w:rsid w:val="00D547F0"/>
    <w:rsid w:val="00D55C71"/>
    <w:rsid w:val="00D55DF5"/>
    <w:rsid w:val="00D56428"/>
    <w:rsid w:val="00D60321"/>
    <w:rsid w:val="00D61990"/>
    <w:rsid w:val="00D62D29"/>
    <w:rsid w:val="00D651A7"/>
    <w:rsid w:val="00D670A9"/>
    <w:rsid w:val="00D679F0"/>
    <w:rsid w:val="00D701C6"/>
    <w:rsid w:val="00D72824"/>
    <w:rsid w:val="00D728C8"/>
    <w:rsid w:val="00D74C8E"/>
    <w:rsid w:val="00D755A3"/>
    <w:rsid w:val="00D7622F"/>
    <w:rsid w:val="00D77945"/>
    <w:rsid w:val="00D8247D"/>
    <w:rsid w:val="00D906F7"/>
    <w:rsid w:val="00D92D6C"/>
    <w:rsid w:val="00D953AE"/>
    <w:rsid w:val="00D95977"/>
    <w:rsid w:val="00D96A89"/>
    <w:rsid w:val="00DA04DB"/>
    <w:rsid w:val="00DA1756"/>
    <w:rsid w:val="00DA4426"/>
    <w:rsid w:val="00DA4EDD"/>
    <w:rsid w:val="00DA7F28"/>
    <w:rsid w:val="00DB44AB"/>
    <w:rsid w:val="00DB49FE"/>
    <w:rsid w:val="00DB4B04"/>
    <w:rsid w:val="00DC02F1"/>
    <w:rsid w:val="00DC20E5"/>
    <w:rsid w:val="00DC307A"/>
    <w:rsid w:val="00DC7140"/>
    <w:rsid w:val="00DC7174"/>
    <w:rsid w:val="00DC7AB3"/>
    <w:rsid w:val="00DC7E0E"/>
    <w:rsid w:val="00DD22F4"/>
    <w:rsid w:val="00DD373E"/>
    <w:rsid w:val="00DD5C00"/>
    <w:rsid w:val="00DE6650"/>
    <w:rsid w:val="00DF004D"/>
    <w:rsid w:val="00DF4B6F"/>
    <w:rsid w:val="00DF4CAF"/>
    <w:rsid w:val="00DF57E1"/>
    <w:rsid w:val="00E01C7B"/>
    <w:rsid w:val="00E03DCA"/>
    <w:rsid w:val="00E129E6"/>
    <w:rsid w:val="00E13284"/>
    <w:rsid w:val="00E13447"/>
    <w:rsid w:val="00E13B5B"/>
    <w:rsid w:val="00E1654B"/>
    <w:rsid w:val="00E2066F"/>
    <w:rsid w:val="00E211DF"/>
    <w:rsid w:val="00E23271"/>
    <w:rsid w:val="00E23D3F"/>
    <w:rsid w:val="00E246B4"/>
    <w:rsid w:val="00E267EA"/>
    <w:rsid w:val="00E26A4C"/>
    <w:rsid w:val="00E278A9"/>
    <w:rsid w:val="00E27C9D"/>
    <w:rsid w:val="00E31708"/>
    <w:rsid w:val="00E36692"/>
    <w:rsid w:val="00E40A46"/>
    <w:rsid w:val="00E40F71"/>
    <w:rsid w:val="00E43F79"/>
    <w:rsid w:val="00E43FB6"/>
    <w:rsid w:val="00E453B3"/>
    <w:rsid w:val="00E460A1"/>
    <w:rsid w:val="00E46E22"/>
    <w:rsid w:val="00E47365"/>
    <w:rsid w:val="00E47B0E"/>
    <w:rsid w:val="00E50AB5"/>
    <w:rsid w:val="00E51785"/>
    <w:rsid w:val="00E51D02"/>
    <w:rsid w:val="00E520E9"/>
    <w:rsid w:val="00E52EF9"/>
    <w:rsid w:val="00E54148"/>
    <w:rsid w:val="00E54C79"/>
    <w:rsid w:val="00E55B59"/>
    <w:rsid w:val="00E56870"/>
    <w:rsid w:val="00E57EA4"/>
    <w:rsid w:val="00E62C58"/>
    <w:rsid w:val="00E659D5"/>
    <w:rsid w:val="00E65C41"/>
    <w:rsid w:val="00E72974"/>
    <w:rsid w:val="00E76575"/>
    <w:rsid w:val="00E8096B"/>
    <w:rsid w:val="00E81BDC"/>
    <w:rsid w:val="00E829B5"/>
    <w:rsid w:val="00E857F5"/>
    <w:rsid w:val="00E85B39"/>
    <w:rsid w:val="00E91678"/>
    <w:rsid w:val="00E97B57"/>
    <w:rsid w:val="00EA131F"/>
    <w:rsid w:val="00EA2952"/>
    <w:rsid w:val="00EA50AD"/>
    <w:rsid w:val="00EA52D7"/>
    <w:rsid w:val="00EA7E05"/>
    <w:rsid w:val="00EB0B5A"/>
    <w:rsid w:val="00EB27EF"/>
    <w:rsid w:val="00EB3985"/>
    <w:rsid w:val="00EC2671"/>
    <w:rsid w:val="00EC314A"/>
    <w:rsid w:val="00EC3F4E"/>
    <w:rsid w:val="00EC4F45"/>
    <w:rsid w:val="00EC52B6"/>
    <w:rsid w:val="00ED13D2"/>
    <w:rsid w:val="00EE0464"/>
    <w:rsid w:val="00EE1964"/>
    <w:rsid w:val="00EE7EFB"/>
    <w:rsid w:val="00EE7F30"/>
    <w:rsid w:val="00EE7F56"/>
    <w:rsid w:val="00EF0A2A"/>
    <w:rsid w:val="00EF1CA9"/>
    <w:rsid w:val="00EF23A8"/>
    <w:rsid w:val="00EF2CA8"/>
    <w:rsid w:val="00EF30A9"/>
    <w:rsid w:val="00EF54E5"/>
    <w:rsid w:val="00EF7896"/>
    <w:rsid w:val="00F000DF"/>
    <w:rsid w:val="00F01C35"/>
    <w:rsid w:val="00F03261"/>
    <w:rsid w:val="00F04C08"/>
    <w:rsid w:val="00F1070F"/>
    <w:rsid w:val="00F12E70"/>
    <w:rsid w:val="00F13E33"/>
    <w:rsid w:val="00F15E18"/>
    <w:rsid w:val="00F17FA9"/>
    <w:rsid w:val="00F216F9"/>
    <w:rsid w:val="00F24287"/>
    <w:rsid w:val="00F25020"/>
    <w:rsid w:val="00F250F1"/>
    <w:rsid w:val="00F30E5B"/>
    <w:rsid w:val="00F34CC4"/>
    <w:rsid w:val="00F37CD1"/>
    <w:rsid w:val="00F406D3"/>
    <w:rsid w:val="00F4126C"/>
    <w:rsid w:val="00F43EC3"/>
    <w:rsid w:val="00F44272"/>
    <w:rsid w:val="00F460A8"/>
    <w:rsid w:val="00F473D1"/>
    <w:rsid w:val="00F50CAA"/>
    <w:rsid w:val="00F57C53"/>
    <w:rsid w:val="00F61301"/>
    <w:rsid w:val="00F613CE"/>
    <w:rsid w:val="00F6251D"/>
    <w:rsid w:val="00F65CE8"/>
    <w:rsid w:val="00F66123"/>
    <w:rsid w:val="00F66D13"/>
    <w:rsid w:val="00F712BC"/>
    <w:rsid w:val="00F72DBE"/>
    <w:rsid w:val="00F80803"/>
    <w:rsid w:val="00F81F4C"/>
    <w:rsid w:val="00F8255F"/>
    <w:rsid w:val="00F8465B"/>
    <w:rsid w:val="00F9039E"/>
    <w:rsid w:val="00F92E4A"/>
    <w:rsid w:val="00F95C1F"/>
    <w:rsid w:val="00F9602E"/>
    <w:rsid w:val="00F96241"/>
    <w:rsid w:val="00F96494"/>
    <w:rsid w:val="00F97A85"/>
    <w:rsid w:val="00FA13E2"/>
    <w:rsid w:val="00FA333A"/>
    <w:rsid w:val="00FA48C6"/>
    <w:rsid w:val="00FA4A87"/>
    <w:rsid w:val="00FA4BB6"/>
    <w:rsid w:val="00FA650C"/>
    <w:rsid w:val="00FB1FA5"/>
    <w:rsid w:val="00FB50DC"/>
    <w:rsid w:val="00FB6014"/>
    <w:rsid w:val="00FC0A7C"/>
    <w:rsid w:val="00FC2A97"/>
    <w:rsid w:val="00FC2B81"/>
    <w:rsid w:val="00FC55DE"/>
    <w:rsid w:val="00FC7A77"/>
    <w:rsid w:val="00FD332A"/>
    <w:rsid w:val="00FD34E0"/>
    <w:rsid w:val="00FE3C17"/>
    <w:rsid w:val="00FE593F"/>
    <w:rsid w:val="00FE7DD2"/>
    <w:rsid w:val="00FF1057"/>
    <w:rsid w:val="00FF3849"/>
    <w:rsid w:val="00FF468F"/>
    <w:rsid w:val="00FF5493"/>
    <w:rsid w:val="00FF7973"/>
    <w:rsid w:val="00FF7B6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8"/>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390"/>
    <w:pPr>
      <w:spacing w:after="0" w:line="240" w:lineRule="auto"/>
    </w:pPr>
    <w:rPr>
      <w:rFonts w:eastAsia="Times New Roman" w:cs="Times New Roman"/>
      <w:sz w:val="24"/>
      <w:szCs w:val="24"/>
      <w:lang w:val="ru-RU" w:eastAsia="ru-RU"/>
    </w:rPr>
  </w:style>
  <w:style w:type="paragraph" w:styleId="1">
    <w:name w:val="heading 1"/>
    <w:basedOn w:val="a"/>
    <w:next w:val="a"/>
    <w:link w:val="10"/>
    <w:qFormat/>
    <w:rsid w:val="00FE593F"/>
    <w:pPr>
      <w:keepNext/>
      <w:jc w:val="center"/>
      <w:outlineLvl w:val="0"/>
    </w:pPr>
    <w:rPr>
      <w:b/>
      <w:i/>
      <w:sz w:val="28"/>
      <w:szCs w:val="20"/>
    </w:rPr>
  </w:style>
  <w:style w:type="paragraph" w:styleId="2">
    <w:name w:val="heading 2"/>
    <w:basedOn w:val="a"/>
    <w:next w:val="a"/>
    <w:link w:val="20"/>
    <w:qFormat/>
    <w:rsid w:val="0037673D"/>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FE593F"/>
    <w:pPr>
      <w:keepNext/>
      <w:spacing w:before="240" w:after="60"/>
      <w:outlineLvl w:val="2"/>
    </w:pPr>
    <w:rPr>
      <w:rFonts w:ascii="Cambria" w:hAnsi="Cambria"/>
      <w:b/>
      <w:bCs/>
      <w:sz w:val="26"/>
      <w:szCs w:val="26"/>
    </w:rPr>
  </w:style>
  <w:style w:type="paragraph" w:styleId="8">
    <w:name w:val="heading 8"/>
    <w:basedOn w:val="a"/>
    <w:next w:val="a"/>
    <w:link w:val="80"/>
    <w:qFormat/>
    <w:rsid w:val="00FE593F"/>
    <w:pPr>
      <w:spacing w:before="240" w:after="60"/>
      <w:outlineLvl w:val="7"/>
    </w:pPr>
    <w:rPr>
      <w:i/>
      <w:i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7673D"/>
    <w:rPr>
      <w:rFonts w:ascii="Arial" w:eastAsia="Times New Roman" w:hAnsi="Arial" w:cs="Arial"/>
      <w:b/>
      <w:bCs/>
      <w:i/>
      <w:iCs/>
      <w:lang w:val="ru-RU" w:eastAsia="ru-RU"/>
    </w:rPr>
  </w:style>
  <w:style w:type="paragraph" w:styleId="a3">
    <w:name w:val="Balloon Text"/>
    <w:basedOn w:val="a"/>
    <w:link w:val="a4"/>
    <w:unhideWhenUsed/>
    <w:rsid w:val="0037673D"/>
    <w:rPr>
      <w:rFonts w:ascii="Tahoma" w:hAnsi="Tahoma" w:cs="Tahoma"/>
      <w:sz w:val="16"/>
      <w:szCs w:val="16"/>
    </w:rPr>
  </w:style>
  <w:style w:type="character" w:customStyle="1" w:styleId="a4">
    <w:name w:val="Текст выноски Знак"/>
    <w:basedOn w:val="a0"/>
    <w:link w:val="a3"/>
    <w:rsid w:val="0037673D"/>
    <w:rPr>
      <w:rFonts w:ascii="Tahoma" w:eastAsia="Times New Roman" w:hAnsi="Tahoma" w:cs="Tahoma"/>
      <w:sz w:val="16"/>
      <w:szCs w:val="16"/>
      <w:lang w:val="ru-RU" w:eastAsia="ru-RU"/>
    </w:rPr>
  </w:style>
  <w:style w:type="paragraph" w:styleId="a5">
    <w:name w:val="Body Text Indent"/>
    <w:basedOn w:val="a"/>
    <w:link w:val="a6"/>
    <w:rsid w:val="00987F6A"/>
    <w:pPr>
      <w:jc w:val="both"/>
    </w:pPr>
    <w:rPr>
      <w:i/>
      <w:sz w:val="28"/>
      <w:szCs w:val="20"/>
      <w:u w:val="single"/>
    </w:rPr>
  </w:style>
  <w:style w:type="character" w:customStyle="1" w:styleId="a6">
    <w:name w:val="Основной текст с отступом Знак"/>
    <w:basedOn w:val="a0"/>
    <w:link w:val="a5"/>
    <w:rsid w:val="00987F6A"/>
    <w:rPr>
      <w:rFonts w:eastAsia="Times New Roman" w:cs="Times New Roman"/>
      <w:i/>
      <w:szCs w:val="20"/>
      <w:u w:val="single"/>
      <w:lang w:eastAsia="ru-RU"/>
    </w:rPr>
  </w:style>
  <w:style w:type="paragraph" w:styleId="a7">
    <w:name w:val="List Paragraph"/>
    <w:basedOn w:val="a"/>
    <w:link w:val="a8"/>
    <w:uiPriority w:val="34"/>
    <w:qFormat/>
    <w:rsid w:val="00987F6A"/>
    <w:pPr>
      <w:ind w:left="720"/>
      <w:contextualSpacing/>
    </w:p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nhideWhenUsed/>
    <w:qFormat/>
    <w:rsid w:val="00987F6A"/>
    <w:pPr>
      <w:spacing w:before="100" w:beforeAutospacing="1" w:after="100" w:afterAutospacing="1"/>
    </w:pPr>
    <w:rPr>
      <w:lang w:val="uk-UA" w:eastAsia="uk-UA"/>
    </w:rPr>
  </w:style>
  <w:style w:type="paragraph" w:styleId="ab">
    <w:name w:val="Body Text"/>
    <w:aliases w:val="Текст1,bt"/>
    <w:basedOn w:val="a"/>
    <w:link w:val="ac"/>
    <w:unhideWhenUsed/>
    <w:rsid w:val="00987F6A"/>
    <w:pPr>
      <w:spacing w:after="120"/>
    </w:pPr>
  </w:style>
  <w:style w:type="character" w:customStyle="1" w:styleId="ac">
    <w:name w:val="Основной текст Знак"/>
    <w:aliases w:val="Текст1 Знак,bt Знак"/>
    <w:basedOn w:val="a0"/>
    <w:link w:val="ab"/>
    <w:rsid w:val="00987F6A"/>
    <w:rPr>
      <w:rFonts w:eastAsia="Times New Roman" w:cs="Times New Roman"/>
      <w:sz w:val="24"/>
      <w:szCs w:val="24"/>
      <w:lang w:val="ru-RU" w:eastAsia="ru-RU"/>
    </w:rPr>
  </w:style>
  <w:style w:type="paragraph" w:styleId="HTML">
    <w:name w:val="HTML Preformatted"/>
    <w:basedOn w:val="a"/>
    <w:link w:val="HTML0"/>
    <w:rsid w:val="00987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87F6A"/>
    <w:rPr>
      <w:rFonts w:ascii="Courier New" w:eastAsia="Times New Roman" w:hAnsi="Courier New" w:cs="Courier New"/>
      <w:sz w:val="20"/>
      <w:szCs w:val="20"/>
      <w:lang w:val="ru-RU" w:eastAsia="ru-RU"/>
    </w:rPr>
  </w:style>
  <w:style w:type="paragraph" w:customStyle="1" w:styleId="shorttext">
    <w:name w:val="shorttext"/>
    <w:basedOn w:val="a"/>
    <w:rsid w:val="00987F6A"/>
    <w:pPr>
      <w:spacing w:before="100" w:beforeAutospacing="1" w:after="100" w:afterAutospacing="1"/>
    </w:pPr>
  </w:style>
  <w:style w:type="paragraph" w:styleId="31">
    <w:name w:val="Body Text Indent 3"/>
    <w:basedOn w:val="a"/>
    <w:link w:val="32"/>
    <w:uiPriority w:val="99"/>
    <w:rsid w:val="00F95C1F"/>
    <w:pPr>
      <w:spacing w:after="120"/>
      <w:ind w:left="283"/>
    </w:pPr>
    <w:rPr>
      <w:sz w:val="16"/>
      <w:szCs w:val="16"/>
    </w:rPr>
  </w:style>
  <w:style w:type="character" w:customStyle="1" w:styleId="32">
    <w:name w:val="Основной текст с отступом 3 Знак"/>
    <w:basedOn w:val="a0"/>
    <w:link w:val="31"/>
    <w:uiPriority w:val="99"/>
    <w:rsid w:val="00F95C1F"/>
    <w:rPr>
      <w:rFonts w:eastAsia="Times New Roman" w:cs="Times New Roman"/>
      <w:sz w:val="16"/>
      <w:szCs w:val="16"/>
      <w:lang w:val="ru-RU" w:eastAsia="ru-RU"/>
    </w:rPr>
  </w:style>
  <w:style w:type="table" w:styleId="2-3">
    <w:name w:val="Medium Shading 2 Accent 3"/>
    <w:basedOn w:val="a1"/>
    <w:uiPriority w:val="64"/>
    <w:rsid w:val="00F95C1F"/>
    <w:pPr>
      <w:spacing w:after="0" w:line="240" w:lineRule="auto"/>
    </w:pPr>
    <w:rPr>
      <w:rFonts w:asciiTheme="minorHAnsi" w:hAnsiTheme="minorHAnsi"/>
      <w:sz w:val="22"/>
      <w:szCs w:val="22"/>
      <w:lang w:val="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d">
    <w:name w:val="header"/>
    <w:basedOn w:val="a"/>
    <w:link w:val="ae"/>
    <w:uiPriority w:val="99"/>
    <w:unhideWhenUsed/>
    <w:rsid w:val="001F1DC4"/>
    <w:pPr>
      <w:tabs>
        <w:tab w:val="center" w:pos="4819"/>
        <w:tab w:val="right" w:pos="9639"/>
      </w:tabs>
    </w:pPr>
  </w:style>
  <w:style w:type="character" w:customStyle="1" w:styleId="ae">
    <w:name w:val="Верхний колонтитул Знак"/>
    <w:basedOn w:val="a0"/>
    <w:link w:val="ad"/>
    <w:uiPriority w:val="99"/>
    <w:rsid w:val="001F1DC4"/>
    <w:rPr>
      <w:rFonts w:eastAsia="Times New Roman" w:cs="Times New Roman"/>
      <w:sz w:val="24"/>
      <w:szCs w:val="24"/>
      <w:lang w:val="ru-RU" w:eastAsia="ru-RU"/>
    </w:rPr>
  </w:style>
  <w:style w:type="paragraph" w:styleId="af">
    <w:name w:val="footer"/>
    <w:basedOn w:val="a"/>
    <w:link w:val="af0"/>
    <w:uiPriority w:val="99"/>
    <w:unhideWhenUsed/>
    <w:rsid w:val="001F1DC4"/>
    <w:pPr>
      <w:tabs>
        <w:tab w:val="center" w:pos="4819"/>
        <w:tab w:val="right" w:pos="9639"/>
      </w:tabs>
    </w:pPr>
  </w:style>
  <w:style w:type="character" w:customStyle="1" w:styleId="af0">
    <w:name w:val="Нижний колонтитул Знак"/>
    <w:basedOn w:val="a0"/>
    <w:link w:val="af"/>
    <w:uiPriority w:val="99"/>
    <w:rsid w:val="001F1DC4"/>
    <w:rPr>
      <w:rFonts w:eastAsia="Times New Roman" w:cs="Times New Roman"/>
      <w:sz w:val="24"/>
      <w:szCs w:val="24"/>
      <w:lang w:val="ru-RU" w:eastAsia="ru-RU"/>
    </w:rPr>
  </w:style>
  <w:style w:type="paragraph" w:styleId="af1">
    <w:name w:val="endnote text"/>
    <w:basedOn w:val="a"/>
    <w:link w:val="af2"/>
    <w:semiHidden/>
    <w:rsid w:val="004B68B0"/>
    <w:rPr>
      <w:sz w:val="20"/>
      <w:szCs w:val="20"/>
      <w:lang w:val="uk-UA"/>
    </w:rPr>
  </w:style>
  <w:style w:type="character" w:customStyle="1" w:styleId="af2">
    <w:name w:val="Текст концевой сноски Знак"/>
    <w:basedOn w:val="a0"/>
    <w:link w:val="af1"/>
    <w:semiHidden/>
    <w:rsid w:val="004B68B0"/>
    <w:rPr>
      <w:rFonts w:eastAsia="Times New Roman" w:cs="Times New Roman"/>
      <w:sz w:val="20"/>
      <w:szCs w:val="20"/>
      <w:lang w:eastAsia="ru-RU"/>
    </w:rPr>
  </w:style>
  <w:style w:type="character" w:customStyle="1" w:styleId="10">
    <w:name w:val="Заголовок 1 Знак"/>
    <w:basedOn w:val="a0"/>
    <w:link w:val="1"/>
    <w:rsid w:val="00FE593F"/>
    <w:rPr>
      <w:rFonts w:eastAsia="Times New Roman" w:cs="Times New Roman"/>
      <w:b/>
      <w:i/>
      <w:szCs w:val="20"/>
      <w:lang w:val="ru-RU" w:eastAsia="ru-RU"/>
    </w:rPr>
  </w:style>
  <w:style w:type="character" w:customStyle="1" w:styleId="30">
    <w:name w:val="Заголовок 3 Знак"/>
    <w:basedOn w:val="a0"/>
    <w:link w:val="3"/>
    <w:semiHidden/>
    <w:rsid w:val="00FE593F"/>
    <w:rPr>
      <w:rFonts w:ascii="Cambria" w:eastAsia="Times New Roman" w:hAnsi="Cambria" w:cs="Times New Roman"/>
      <w:b/>
      <w:bCs/>
      <w:sz w:val="26"/>
      <w:szCs w:val="26"/>
      <w:lang w:val="ru-RU" w:eastAsia="ru-RU"/>
    </w:rPr>
  </w:style>
  <w:style w:type="character" w:customStyle="1" w:styleId="80">
    <w:name w:val="Заголовок 8 Знак"/>
    <w:basedOn w:val="a0"/>
    <w:link w:val="8"/>
    <w:rsid w:val="00FE593F"/>
    <w:rPr>
      <w:rFonts w:eastAsia="Times New Roman" w:cs="Times New Roman"/>
      <w:i/>
      <w:iCs/>
      <w:sz w:val="24"/>
      <w:szCs w:val="24"/>
      <w:lang w:eastAsia="ru-RU"/>
    </w:rPr>
  </w:style>
  <w:style w:type="paragraph" w:styleId="21">
    <w:name w:val="Body Text Indent 2"/>
    <w:basedOn w:val="a"/>
    <w:link w:val="22"/>
    <w:rsid w:val="00FE593F"/>
    <w:pPr>
      <w:spacing w:after="120" w:line="480" w:lineRule="auto"/>
      <w:ind w:left="283"/>
    </w:pPr>
  </w:style>
  <w:style w:type="character" w:customStyle="1" w:styleId="22">
    <w:name w:val="Основной текст с отступом 2 Знак"/>
    <w:basedOn w:val="a0"/>
    <w:link w:val="21"/>
    <w:rsid w:val="00FE593F"/>
    <w:rPr>
      <w:rFonts w:eastAsia="Times New Roman" w:cs="Times New Roman"/>
      <w:sz w:val="24"/>
      <w:szCs w:val="24"/>
      <w:lang w:val="ru-RU" w:eastAsia="ru-RU"/>
    </w:rPr>
  </w:style>
  <w:style w:type="character" w:styleId="af3">
    <w:name w:val="page number"/>
    <w:basedOn w:val="a0"/>
    <w:rsid w:val="00FE593F"/>
  </w:style>
  <w:style w:type="table" w:styleId="af4">
    <w:name w:val="Table Grid"/>
    <w:basedOn w:val="a1"/>
    <w:rsid w:val="00FE593F"/>
    <w:pPr>
      <w:spacing w:after="0" w:line="240" w:lineRule="auto"/>
    </w:pPr>
    <w:rPr>
      <w:rFonts w:eastAsia="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rsid w:val="00FE593F"/>
    <w:pPr>
      <w:spacing w:after="120"/>
    </w:pPr>
    <w:rPr>
      <w:sz w:val="16"/>
      <w:szCs w:val="16"/>
      <w:lang w:val="uk-UA"/>
    </w:rPr>
  </w:style>
  <w:style w:type="character" w:customStyle="1" w:styleId="34">
    <w:name w:val="Основной текст 3 Знак"/>
    <w:basedOn w:val="a0"/>
    <w:link w:val="33"/>
    <w:rsid w:val="00FE593F"/>
    <w:rPr>
      <w:rFonts w:eastAsia="Times New Roman" w:cs="Times New Roman"/>
      <w:sz w:val="16"/>
      <w:szCs w:val="16"/>
      <w:lang w:eastAsia="ru-RU"/>
    </w:rPr>
  </w:style>
  <w:style w:type="paragraph" w:customStyle="1" w:styleId="af5">
    <w:name w:val="Стиль"/>
    <w:basedOn w:val="a"/>
    <w:rsid w:val="00FE593F"/>
    <w:rPr>
      <w:rFonts w:ascii="Verdana" w:hAnsi="Verdana" w:cs="Verdana"/>
      <w:color w:val="000000"/>
      <w:sz w:val="20"/>
      <w:szCs w:val="20"/>
      <w:lang w:val="en-US" w:eastAsia="en-US"/>
    </w:rPr>
  </w:style>
  <w:style w:type="paragraph" w:customStyle="1" w:styleId="af6">
    <w:name w:val="Знак"/>
    <w:basedOn w:val="a"/>
    <w:rsid w:val="00FE593F"/>
    <w:rPr>
      <w:rFonts w:ascii="Verdana" w:hAnsi="Verdana" w:cs="Verdana"/>
      <w:sz w:val="20"/>
      <w:szCs w:val="20"/>
      <w:lang w:val="en-US" w:eastAsia="en-US"/>
    </w:rPr>
  </w:style>
  <w:style w:type="character" w:styleId="af7">
    <w:name w:val="Strong"/>
    <w:uiPriority w:val="22"/>
    <w:qFormat/>
    <w:rsid w:val="00FE593F"/>
    <w:rPr>
      <w:b/>
      <w:bCs/>
    </w:rPr>
  </w:style>
  <w:style w:type="paragraph" w:customStyle="1" w:styleId="StyleZakonu">
    <w:name w:val="StyleZakonu"/>
    <w:basedOn w:val="a"/>
    <w:rsid w:val="00FE593F"/>
    <w:pPr>
      <w:spacing w:after="60" w:line="220" w:lineRule="exact"/>
      <w:ind w:firstLine="284"/>
      <w:jc w:val="both"/>
    </w:pPr>
    <w:rPr>
      <w:sz w:val="20"/>
      <w:szCs w:val="20"/>
      <w:lang w:val="uk-UA"/>
    </w:rPr>
  </w:style>
  <w:style w:type="paragraph" w:customStyle="1" w:styleId="210">
    <w:name w:val="Основной текст с отступом 21"/>
    <w:basedOn w:val="a"/>
    <w:rsid w:val="00FE593F"/>
    <w:pPr>
      <w:ind w:firstLine="720"/>
      <w:jc w:val="both"/>
    </w:pPr>
    <w:rPr>
      <w:sz w:val="28"/>
      <w:szCs w:val="20"/>
    </w:rPr>
  </w:style>
  <w:style w:type="character" w:customStyle="1" w:styleId="apple-converted-space">
    <w:name w:val="apple-converted-space"/>
    <w:rsid w:val="00FE593F"/>
  </w:style>
  <w:style w:type="table" w:customStyle="1" w:styleId="11">
    <w:name w:val="Сетка таблицы1"/>
    <w:basedOn w:val="a1"/>
    <w:next w:val="af4"/>
    <w:uiPriority w:val="59"/>
    <w:rsid w:val="00FE593F"/>
    <w:pPr>
      <w:spacing w:after="0" w:line="240" w:lineRule="auto"/>
    </w:pPr>
    <w:rPr>
      <w:rFonts w:eastAsia="Calibri" w:cs="Times New Roman"/>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4"/>
    <w:uiPriority w:val="59"/>
    <w:rsid w:val="00FE593F"/>
    <w:pPr>
      <w:spacing w:after="0" w:line="240" w:lineRule="auto"/>
    </w:pPr>
    <w:rPr>
      <w:rFonts w:eastAsia="Calibri" w:cs="Times New Roman"/>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caption"/>
    <w:basedOn w:val="a"/>
    <w:next w:val="a"/>
    <w:unhideWhenUsed/>
    <w:qFormat/>
    <w:rsid w:val="00FE593F"/>
    <w:rPr>
      <w:b/>
      <w:bCs/>
      <w:sz w:val="20"/>
      <w:szCs w:val="20"/>
    </w:rPr>
  </w:style>
  <w:style w:type="paragraph" w:styleId="24">
    <w:name w:val="Body Text 2"/>
    <w:basedOn w:val="a"/>
    <w:link w:val="25"/>
    <w:rsid w:val="00FE593F"/>
    <w:pPr>
      <w:spacing w:after="120" w:line="480" w:lineRule="auto"/>
    </w:pPr>
    <w:rPr>
      <w:sz w:val="20"/>
      <w:szCs w:val="20"/>
    </w:rPr>
  </w:style>
  <w:style w:type="character" w:customStyle="1" w:styleId="25">
    <w:name w:val="Основной текст 2 Знак"/>
    <w:basedOn w:val="a0"/>
    <w:link w:val="24"/>
    <w:rsid w:val="00FE593F"/>
    <w:rPr>
      <w:rFonts w:eastAsia="Times New Roman" w:cs="Times New Roman"/>
      <w:sz w:val="20"/>
      <w:szCs w:val="20"/>
      <w:lang w:val="ru-RU" w:eastAsia="ru-RU"/>
    </w:rPr>
  </w:style>
  <w:style w:type="table" w:styleId="2-4">
    <w:name w:val="Medium Shading 2 Accent 4"/>
    <w:basedOn w:val="a1"/>
    <w:uiPriority w:val="64"/>
    <w:rsid w:val="008F43CD"/>
    <w:pPr>
      <w:spacing w:after="0" w:line="240" w:lineRule="auto"/>
    </w:pPr>
    <w:rPr>
      <w:rFonts w:asciiTheme="minorHAnsi" w:hAnsiTheme="minorHAnsi"/>
      <w:sz w:val="22"/>
      <w:szCs w:val="22"/>
      <w:lang w:val="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ps">
    <w:name w:val="hps"/>
    <w:rsid w:val="007A28B3"/>
  </w:style>
  <w:style w:type="character" w:styleId="af9">
    <w:name w:val="Hyperlink"/>
    <w:basedOn w:val="a0"/>
    <w:uiPriority w:val="99"/>
    <w:unhideWhenUsed/>
    <w:rsid w:val="007A28B3"/>
    <w:rPr>
      <w:color w:val="0000FF" w:themeColor="hyperlink"/>
      <w:u w:val="single"/>
    </w:rPr>
  </w:style>
  <w:style w:type="character" w:customStyle="1" w:styleId="hpsatn">
    <w:name w:val="hps atn"/>
    <w:rsid w:val="007A28B3"/>
  </w:style>
  <w:style w:type="character" w:customStyle="1" w:styleId="atn">
    <w:name w:val="atn"/>
    <w:rsid w:val="007A28B3"/>
  </w:style>
  <w:style w:type="numbering" w:customStyle="1" w:styleId="12">
    <w:name w:val="Нет списка1"/>
    <w:next w:val="a2"/>
    <w:uiPriority w:val="99"/>
    <w:semiHidden/>
    <w:unhideWhenUsed/>
    <w:rsid w:val="007A28B3"/>
  </w:style>
  <w:style w:type="table" w:customStyle="1" w:styleId="110">
    <w:name w:val="Сетка таблицы11"/>
    <w:basedOn w:val="a1"/>
    <w:next w:val="af4"/>
    <w:rsid w:val="007A28B3"/>
    <w:pPr>
      <w:spacing w:after="0" w:line="240" w:lineRule="auto"/>
    </w:pPr>
    <w:rPr>
      <w:rFonts w:eastAsia="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
    <w:name w:val="заголовок 6"/>
    <w:basedOn w:val="a"/>
    <w:next w:val="a"/>
    <w:rsid w:val="007A28B3"/>
    <w:pPr>
      <w:keepNext/>
      <w:autoSpaceDE w:val="0"/>
      <w:autoSpaceDN w:val="0"/>
      <w:ind w:right="-100"/>
      <w:jc w:val="both"/>
      <w:outlineLvl w:val="5"/>
    </w:pPr>
    <w:rPr>
      <w:sz w:val="28"/>
      <w:szCs w:val="28"/>
    </w:rPr>
  </w:style>
  <w:style w:type="table" w:customStyle="1" w:styleId="2-31">
    <w:name w:val="Средняя заливка 2 - Акцент 31"/>
    <w:basedOn w:val="a1"/>
    <w:next w:val="2-3"/>
    <w:uiPriority w:val="64"/>
    <w:rsid w:val="007A28B3"/>
    <w:pPr>
      <w:spacing w:after="0" w:line="240" w:lineRule="auto"/>
    </w:pPr>
    <w:rPr>
      <w:rFonts w:ascii="Calibri" w:eastAsia="Calibri" w:hAnsi="Calibri" w:cs="Times New Roman"/>
      <w:sz w:val="22"/>
      <w:szCs w:val="22"/>
      <w:lang w:val="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a">
    <w:name w:val="Block Text"/>
    <w:basedOn w:val="a"/>
    <w:uiPriority w:val="99"/>
    <w:rsid w:val="007A28B3"/>
    <w:pPr>
      <w:ind w:left="360" w:right="175"/>
      <w:jc w:val="both"/>
    </w:pPr>
    <w:rPr>
      <w:lang w:val="uk-UA"/>
    </w:rPr>
  </w:style>
  <w:style w:type="table" w:styleId="1-1">
    <w:name w:val="Medium Grid 1 Accent 1"/>
    <w:basedOn w:val="a1"/>
    <w:uiPriority w:val="67"/>
    <w:rsid w:val="009C6AF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afb">
    <w:name w:val="No Spacing"/>
    <w:uiPriority w:val="1"/>
    <w:qFormat/>
    <w:rsid w:val="009C6AF8"/>
    <w:pPr>
      <w:spacing w:after="0" w:line="240" w:lineRule="auto"/>
    </w:pPr>
    <w:rPr>
      <w:rFonts w:asciiTheme="minorHAnsi" w:hAnsiTheme="minorHAnsi"/>
      <w:sz w:val="22"/>
      <w:szCs w:val="22"/>
    </w:rPr>
  </w:style>
  <w:style w:type="paragraph" w:customStyle="1" w:styleId="13">
    <w:name w:val="заголовок 1"/>
    <w:basedOn w:val="a"/>
    <w:next w:val="a"/>
    <w:rsid w:val="00A500F4"/>
    <w:pPr>
      <w:keepNext/>
      <w:autoSpaceDE w:val="0"/>
      <w:autoSpaceDN w:val="0"/>
      <w:outlineLvl w:val="0"/>
    </w:pPr>
    <w:rPr>
      <w:b/>
      <w:bCs/>
      <w:sz w:val="28"/>
      <w:szCs w:val="28"/>
    </w:rPr>
  </w:style>
  <w:style w:type="paragraph" w:styleId="afc">
    <w:name w:val="Plain Text"/>
    <w:basedOn w:val="a"/>
    <w:link w:val="afd"/>
    <w:uiPriority w:val="99"/>
    <w:unhideWhenUsed/>
    <w:rsid w:val="003E17F4"/>
    <w:rPr>
      <w:rFonts w:ascii="Consolas" w:eastAsiaTheme="minorHAnsi" w:hAnsi="Consolas" w:cstheme="minorBidi"/>
      <w:sz w:val="21"/>
      <w:szCs w:val="21"/>
      <w:lang w:val="uk-UA" w:eastAsia="en-US"/>
    </w:rPr>
  </w:style>
  <w:style w:type="character" w:customStyle="1" w:styleId="afd">
    <w:name w:val="Текст Знак"/>
    <w:basedOn w:val="a0"/>
    <w:link w:val="afc"/>
    <w:uiPriority w:val="99"/>
    <w:rsid w:val="003E17F4"/>
    <w:rPr>
      <w:rFonts w:ascii="Consolas" w:hAnsi="Consolas"/>
      <w:sz w:val="21"/>
      <w:szCs w:val="21"/>
    </w:rPr>
  </w:style>
  <w:style w:type="paragraph" w:customStyle="1" w:styleId="xfmc1">
    <w:name w:val="xfmc1"/>
    <w:basedOn w:val="a"/>
    <w:rsid w:val="00C90B99"/>
    <w:pPr>
      <w:spacing w:before="100" w:beforeAutospacing="1" w:after="100" w:afterAutospacing="1"/>
    </w:pPr>
    <w:rPr>
      <w:lang w:val="uk-UA" w:eastAsia="uk-UA"/>
    </w:rPr>
  </w:style>
  <w:style w:type="paragraph" w:customStyle="1" w:styleId="rvps2">
    <w:name w:val="rvps2"/>
    <w:basedOn w:val="a"/>
    <w:rsid w:val="009E3FB0"/>
    <w:pPr>
      <w:spacing w:before="100" w:beforeAutospacing="1" w:after="100" w:afterAutospacing="1"/>
    </w:pPr>
    <w:rPr>
      <w:lang w:val="uk-UA" w:eastAsia="uk-UA"/>
    </w:rPr>
  </w:style>
  <w:style w:type="paragraph" w:customStyle="1" w:styleId="Default">
    <w:name w:val="Default"/>
    <w:rsid w:val="00E43F79"/>
    <w:pPr>
      <w:autoSpaceDE w:val="0"/>
      <w:autoSpaceDN w:val="0"/>
      <w:adjustRightInd w:val="0"/>
      <w:spacing w:after="0" w:line="240" w:lineRule="auto"/>
    </w:pPr>
    <w:rPr>
      <w:rFonts w:cs="Times New Roman"/>
      <w:color w:val="000000"/>
      <w:sz w:val="24"/>
      <w:szCs w:val="24"/>
    </w:rPr>
  </w:style>
  <w:style w:type="table" w:styleId="-1">
    <w:name w:val="Light Shading Accent 1"/>
    <w:basedOn w:val="a1"/>
    <w:uiPriority w:val="60"/>
    <w:rsid w:val="006118F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14">
    <w:name w:val="Обычный1"/>
    <w:rsid w:val="006118FD"/>
    <w:pPr>
      <w:spacing w:after="0" w:line="240" w:lineRule="auto"/>
    </w:pPr>
    <w:rPr>
      <w:rFonts w:eastAsia="Times New Roman" w:cs="Times New Roman"/>
      <w:sz w:val="20"/>
      <w:szCs w:val="20"/>
      <w:lang w:val="ru-RU" w:eastAsia="ru-RU"/>
    </w:rPr>
  </w:style>
  <w:style w:type="paragraph" w:customStyle="1" w:styleId="220">
    <w:name w:val="Основной текст с отступом 22"/>
    <w:basedOn w:val="14"/>
    <w:rsid w:val="006118FD"/>
    <w:pPr>
      <w:ind w:firstLine="720"/>
      <w:jc w:val="both"/>
    </w:pPr>
    <w:rPr>
      <w:sz w:val="28"/>
    </w:rPr>
  </w:style>
  <w:style w:type="table" w:styleId="-5">
    <w:name w:val="Light List Accent 5"/>
    <w:basedOn w:val="a1"/>
    <w:uiPriority w:val="61"/>
    <w:rsid w:val="00456EE1"/>
    <w:pPr>
      <w:spacing w:after="0" w:line="240" w:lineRule="auto"/>
    </w:pPr>
    <w:rPr>
      <w:rFonts w:asciiTheme="minorHAnsi" w:hAnsiTheme="minorHAnsi"/>
      <w:sz w:val="22"/>
      <w:szCs w:val="22"/>
      <w:lang w:val="ru-RU"/>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afe">
    <w:name w:val="annotation reference"/>
    <w:basedOn w:val="a0"/>
    <w:uiPriority w:val="99"/>
    <w:semiHidden/>
    <w:unhideWhenUsed/>
    <w:rsid w:val="00456EE1"/>
    <w:rPr>
      <w:sz w:val="16"/>
      <w:szCs w:val="16"/>
    </w:rPr>
  </w:style>
  <w:style w:type="paragraph" w:styleId="aff">
    <w:name w:val="annotation text"/>
    <w:basedOn w:val="a"/>
    <w:link w:val="aff0"/>
    <w:uiPriority w:val="99"/>
    <w:semiHidden/>
    <w:unhideWhenUsed/>
    <w:rsid w:val="00456EE1"/>
    <w:rPr>
      <w:sz w:val="20"/>
      <w:szCs w:val="20"/>
    </w:rPr>
  </w:style>
  <w:style w:type="character" w:customStyle="1" w:styleId="aff0">
    <w:name w:val="Текст примечания Знак"/>
    <w:basedOn w:val="a0"/>
    <w:link w:val="aff"/>
    <w:uiPriority w:val="99"/>
    <w:semiHidden/>
    <w:rsid w:val="00456EE1"/>
    <w:rPr>
      <w:rFonts w:eastAsia="Times New Roman" w:cs="Times New Roman"/>
      <w:sz w:val="20"/>
      <w:szCs w:val="20"/>
      <w:lang w:val="ru-RU" w:eastAsia="ru-RU"/>
    </w:rPr>
  </w:style>
  <w:style w:type="paragraph" w:styleId="aff1">
    <w:name w:val="annotation subject"/>
    <w:basedOn w:val="aff"/>
    <w:next w:val="aff"/>
    <w:link w:val="aff2"/>
    <w:uiPriority w:val="99"/>
    <w:semiHidden/>
    <w:unhideWhenUsed/>
    <w:rsid w:val="00456EE1"/>
    <w:rPr>
      <w:b/>
      <w:bCs/>
    </w:rPr>
  </w:style>
  <w:style w:type="character" w:customStyle="1" w:styleId="aff2">
    <w:name w:val="Тема примечания Знак"/>
    <w:basedOn w:val="aff0"/>
    <w:link w:val="aff1"/>
    <w:uiPriority w:val="99"/>
    <w:semiHidden/>
    <w:rsid w:val="00456EE1"/>
    <w:rPr>
      <w:rFonts w:eastAsia="Times New Roman" w:cs="Times New Roman"/>
      <w:b/>
      <w:bCs/>
      <w:sz w:val="20"/>
      <w:szCs w:val="20"/>
      <w:lang w:val="ru-RU" w:eastAsia="ru-RU"/>
    </w:rPr>
  </w:style>
  <w:style w:type="character" w:customStyle="1" w:styleId="rvts23">
    <w:name w:val="rvts23"/>
    <w:basedOn w:val="a0"/>
    <w:rsid w:val="00456EE1"/>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rsid w:val="00094676"/>
    <w:rPr>
      <w:rFonts w:eastAsia="Times New Roman" w:cs="Times New Roman"/>
      <w:sz w:val="24"/>
      <w:szCs w:val="24"/>
      <w:lang w:eastAsia="uk-UA"/>
    </w:rPr>
  </w:style>
  <w:style w:type="character" w:customStyle="1" w:styleId="rvts44">
    <w:name w:val="rvts44"/>
    <w:rsid w:val="00094676"/>
  </w:style>
  <w:style w:type="character" w:styleId="aff3">
    <w:name w:val="Emphasis"/>
    <w:basedOn w:val="a0"/>
    <w:uiPriority w:val="20"/>
    <w:qFormat/>
    <w:rsid w:val="004D616F"/>
    <w:rPr>
      <w:i/>
      <w:iCs/>
    </w:rPr>
  </w:style>
  <w:style w:type="numbering" w:customStyle="1" w:styleId="111">
    <w:name w:val="Нет списка11"/>
    <w:next w:val="a2"/>
    <w:uiPriority w:val="99"/>
    <w:semiHidden/>
    <w:unhideWhenUsed/>
    <w:rsid w:val="000F2832"/>
  </w:style>
  <w:style w:type="paragraph" w:customStyle="1" w:styleId="15">
    <w:name w:val="Абзац списка1"/>
    <w:basedOn w:val="a"/>
    <w:rsid w:val="00120FB1"/>
    <w:pPr>
      <w:ind w:left="720"/>
      <w:contextualSpacing/>
    </w:pPr>
    <w:rPr>
      <w:rFonts w:eastAsia="Calibri"/>
    </w:rPr>
  </w:style>
  <w:style w:type="paragraph" w:customStyle="1" w:styleId="rvps122">
    <w:name w:val="rvps122"/>
    <w:basedOn w:val="a"/>
    <w:rsid w:val="007B7942"/>
    <w:pPr>
      <w:spacing w:before="100" w:beforeAutospacing="1" w:after="100" w:afterAutospacing="1"/>
    </w:pPr>
  </w:style>
  <w:style w:type="paragraph" w:customStyle="1" w:styleId="rvps180">
    <w:name w:val="rvps180"/>
    <w:basedOn w:val="a"/>
    <w:rsid w:val="007B7942"/>
    <w:pPr>
      <w:spacing w:before="100" w:beforeAutospacing="1" w:after="100" w:afterAutospacing="1"/>
    </w:pPr>
  </w:style>
  <w:style w:type="character" w:customStyle="1" w:styleId="rvts51">
    <w:name w:val="rvts51"/>
    <w:basedOn w:val="a0"/>
    <w:rsid w:val="007B7942"/>
    <w:rPr>
      <w:rFonts w:cs="Times New Roman"/>
    </w:rPr>
  </w:style>
  <w:style w:type="character" w:customStyle="1" w:styleId="rvts9">
    <w:name w:val="rvts9"/>
    <w:rsid w:val="007B7942"/>
  </w:style>
  <w:style w:type="paragraph" w:customStyle="1" w:styleId="aff4">
    <w:name w:val="Нормальний текст"/>
    <w:basedOn w:val="a"/>
    <w:rsid w:val="00FF7973"/>
    <w:pPr>
      <w:spacing w:before="120"/>
      <w:ind w:firstLine="567"/>
      <w:jc w:val="both"/>
    </w:pPr>
    <w:rPr>
      <w:rFonts w:ascii="Antiqua" w:hAnsi="Antiqua"/>
      <w:sz w:val="26"/>
      <w:szCs w:val="20"/>
      <w:lang w:val="uk-UA"/>
    </w:rPr>
  </w:style>
  <w:style w:type="character" w:customStyle="1" w:styleId="s1">
    <w:name w:val="s1"/>
    <w:uiPriority w:val="99"/>
    <w:rsid w:val="001B4BA8"/>
  </w:style>
  <w:style w:type="paragraph" w:customStyle="1" w:styleId="western">
    <w:name w:val="western"/>
    <w:basedOn w:val="a"/>
    <w:rsid w:val="001B4BA8"/>
    <w:pPr>
      <w:spacing w:before="100" w:beforeAutospacing="1" w:after="100" w:afterAutospacing="1"/>
      <w:jc w:val="center"/>
    </w:pPr>
    <w:rPr>
      <w:b/>
      <w:bCs/>
      <w:sz w:val="40"/>
      <w:szCs w:val="40"/>
      <w:lang w:val="uk-UA" w:eastAsia="uk-UA"/>
    </w:rPr>
  </w:style>
  <w:style w:type="character" w:customStyle="1" w:styleId="26">
    <w:name w:val="Основной текст (2)_"/>
    <w:link w:val="27"/>
    <w:locked/>
    <w:rsid w:val="00B47C9A"/>
    <w:rPr>
      <w:shd w:val="clear" w:color="auto" w:fill="FFFFFF"/>
    </w:rPr>
  </w:style>
  <w:style w:type="paragraph" w:customStyle="1" w:styleId="27">
    <w:name w:val="Основной текст (2)"/>
    <w:basedOn w:val="a"/>
    <w:link w:val="26"/>
    <w:rsid w:val="00B47C9A"/>
    <w:pPr>
      <w:widowControl w:val="0"/>
      <w:shd w:val="clear" w:color="auto" w:fill="FFFFFF"/>
      <w:spacing w:line="0" w:lineRule="atLeast"/>
    </w:pPr>
    <w:rPr>
      <w:rFonts w:eastAsiaTheme="minorHAnsi" w:cstheme="minorBidi"/>
      <w:sz w:val="28"/>
      <w:szCs w:val="28"/>
      <w:lang w:val="uk-UA" w:eastAsia="en-US"/>
    </w:rPr>
  </w:style>
  <w:style w:type="character" w:customStyle="1" w:styleId="rvts48">
    <w:name w:val="rvts48"/>
    <w:basedOn w:val="a0"/>
    <w:rsid w:val="009245CA"/>
  </w:style>
  <w:style w:type="character" w:customStyle="1" w:styleId="a8">
    <w:name w:val="Абзац списка Знак"/>
    <w:link w:val="a7"/>
    <w:uiPriority w:val="34"/>
    <w:rsid w:val="0057311F"/>
    <w:rPr>
      <w:rFonts w:eastAsia="Times New Roman" w:cs="Times New Roman"/>
      <w:sz w:val="24"/>
      <w:szCs w:val="24"/>
      <w:lang w:val="ru-RU" w:eastAsia="ru-RU"/>
    </w:rPr>
  </w:style>
  <w:style w:type="paragraph" w:customStyle="1" w:styleId="TableParagraph">
    <w:name w:val="Table Paragraph"/>
    <w:basedOn w:val="a"/>
    <w:uiPriority w:val="99"/>
    <w:rsid w:val="00813750"/>
    <w:pPr>
      <w:widowControl w:val="0"/>
      <w:autoSpaceDE w:val="0"/>
      <w:autoSpaceDN w:val="0"/>
    </w:pPr>
    <w:rPr>
      <w:sz w:val="22"/>
      <w:szCs w:val="22"/>
      <w:lang w:val="uk-UA" w:eastAsia="uk-UA"/>
    </w:rPr>
  </w:style>
</w:styles>
</file>

<file path=word/webSettings.xml><?xml version="1.0" encoding="utf-8"?>
<w:webSettings xmlns:r="http://schemas.openxmlformats.org/officeDocument/2006/relationships" xmlns:w="http://schemas.openxmlformats.org/wordprocessingml/2006/main">
  <w:divs>
    <w:div w:id="124393784">
      <w:bodyDiv w:val="1"/>
      <w:marLeft w:val="0"/>
      <w:marRight w:val="0"/>
      <w:marTop w:val="0"/>
      <w:marBottom w:val="0"/>
      <w:divBdr>
        <w:top w:val="none" w:sz="0" w:space="0" w:color="auto"/>
        <w:left w:val="none" w:sz="0" w:space="0" w:color="auto"/>
        <w:bottom w:val="none" w:sz="0" w:space="0" w:color="auto"/>
        <w:right w:val="none" w:sz="0" w:space="0" w:color="auto"/>
      </w:divBdr>
    </w:div>
    <w:div w:id="459346713">
      <w:bodyDiv w:val="1"/>
      <w:marLeft w:val="0"/>
      <w:marRight w:val="0"/>
      <w:marTop w:val="0"/>
      <w:marBottom w:val="0"/>
      <w:divBdr>
        <w:top w:val="none" w:sz="0" w:space="0" w:color="auto"/>
        <w:left w:val="none" w:sz="0" w:space="0" w:color="auto"/>
        <w:bottom w:val="none" w:sz="0" w:space="0" w:color="auto"/>
        <w:right w:val="none" w:sz="0" w:space="0" w:color="auto"/>
      </w:divBdr>
    </w:div>
    <w:div w:id="669793762">
      <w:bodyDiv w:val="1"/>
      <w:marLeft w:val="0"/>
      <w:marRight w:val="0"/>
      <w:marTop w:val="0"/>
      <w:marBottom w:val="0"/>
      <w:divBdr>
        <w:top w:val="none" w:sz="0" w:space="0" w:color="auto"/>
        <w:left w:val="none" w:sz="0" w:space="0" w:color="auto"/>
        <w:bottom w:val="none" w:sz="0" w:space="0" w:color="auto"/>
        <w:right w:val="none" w:sz="0" w:space="0" w:color="auto"/>
      </w:divBdr>
    </w:div>
    <w:div w:id="684940541">
      <w:bodyDiv w:val="1"/>
      <w:marLeft w:val="0"/>
      <w:marRight w:val="0"/>
      <w:marTop w:val="0"/>
      <w:marBottom w:val="0"/>
      <w:divBdr>
        <w:top w:val="none" w:sz="0" w:space="0" w:color="auto"/>
        <w:left w:val="none" w:sz="0" w:space="0" w:color="auto"/>
        <w:bottom w:val="none" w:sz="0" w:space="0" w:color="auto"/>
        <w:right w:val="none" w:sz="0" w:space="0" w:color="auto"/>
      </w:divBdr>
    </w:div>
    <w:div w:id="1248422293">
      <w:bodyDiv w:val="1"/>
      <w:marLeft w:val="0"/>
      <w:marRight w:val="0"/>
      <w:marTop w:val="0"/>
      <w:marBottom w:val="0"/>
      <w:divBdr>
        <w:top w:val="none" w:sz="0" w:space="0" w:color="auto"/>
        <w:left w:val="none" w:sz="0" w:space="0" w:color="auto"/>
        <w:bottom w:val="none" w:sz="0" w:space="0" w:color="auto"/>
        <w:right w:val="none" w:sz="0" w:space="0" w:color="auto"/>
      </w:divBdr>
    </w:div>
    <w:div w:id="1267498184">
      <w:bodyDiv w:val="1"/>
      <w:marLeft w:val="0"/>
      <w:marRight w:val="0"/>
      <w:marTop w:val="0"/>
      <w:marBottom w:val="0"/>
      <w:divBdr>
        <w:top w:val="none" w:sz="0" w:space="0" w:color="auto"/>
        <w:left w:val="none" w:sz="0" w:space="0" w:color="auto"/>
        <w:bottom w:val="none" w:sz="0" w:space="0" w:color="auto"/>
        <w:right w:val="none" w:sz="0" w:space="0" w:color="auto"/>
      </w:divBdr>
    </w:div>
    <w:div w:id="1546063900">
      <w:bodyDiv w:val="1"/>
      <w:marLeft w:val="0"/>
      <w:marRight w:val="0"/>
      <w:marTop w:val="0"/>
      <w:marBottom w:val="0"/>
      <w:divBdr>
        <w:top w:val="none" w:sz="0" w:space="0" w:color="auto"/>
        <w:left w:val="none" w:sz="0" w:space="0" w:color="auto"/>
        <w:bottom w:val="none" w:sz="0" w:space="0" w:color="auto"/>
        <w:right w:val="none" w:sz="0" w:space="0" w:color="auto"/>
      </w:divBdr>
    </w:div>
    <w:div w:id="1601373810">
      <w:bodyDiv w:val="1"/>
      <w:marLeft w:val="0"/>
      <w:marRight w:val="0"/>
      <w:marTop w:val="0"/>
      <w:marBottom w:val="0"/>
      <w:divBdr>
        <w:top w:val="none" w:sz="0" w:space="0" w:color="auto"/>
        <w:left w:val="none" w:sz="0" w:space="0" w:color="auto"/>
        <w:bottom w:val="none" w:sz="0" w:space="0" w:color="auto"/>
        <w:right w:val="none" w:sz="0" w:space="0" w:color="auto"/>
      </w:divBdr>
    </w:div>
    <w:div w:id="1654018047">
      <w:bodyDiv w:val="1"/>
      <w:marLeft w:val="0"/>
      <w:marRight w:val="0"/>
      <w:marTop w:val="0"/>
      <w:marBottom w:val="0"/>
      <w:divBdr>
        <w:top w:val="none" w:sz="0" w:space="0" w:color="auto"/>
        <w:left w:val="none" w:sz="0" w:space="0" w:color="auto"/>
        <w:bottom w:val="none" w:sz="0" w:space="0" w:color="auto"/>
        <w:right w:val="none" w:sz="0" w:space="0" w:color="auto"/>
      </w:divBdr>
    </w:div>
    <w:div w:id="1675302994">
      <w:bodyDiv w:val="1"/>
      <w:marLeft w:val="0"/>
      <w:marRight w:val="0"/>
      <w:marTop w:val="0"/>
      <w:marBottom w:val="0"/>
      <w:divBdr>
        <w:top w:val="none" w:sz="0" w:space="0" w:color="auto"/>
        <w:left w:val="none" w:sz="0" w:space="0" w:color="auto"/>
        <w:bottom w:val="none" w:sz="0" w:space="0" w:color="auto"/>
        <w:right w:val="none" w:sz="0" w:space="0" w:color="auto"/>
      </w:divBdr>
    </w:div>
    <w:div w:id="1717243674">
      <w:bodyDiv w:val="1"/>
      <w:marLeft w:val="0"/>
      <w:marRight w:val="0"/>
      <w:marTop w:val="0"/>
      <w:marBottom w:val="0"/>
      <w:divBdr>
        <w:top w:val="none" w:sz="0" w:space="0" w:color="auto"/>
        <w:left w:val="none" w:sz="0" w:space="0" w:color="auto"/>
        <w:bottom w:val="none" w:sz="0" w:space="0" w:color="auto"/>
        <w:right w:val="none" w:sz="0" w:space="0" w:color="auto"/>
      </w:divBdr>
    </w:div>
    <w:div w:id="1810513509">
      <w:bodyDiv w:val="1"/>
      <w:marLeft w:val="0"/>
      <w:marRight w:val="0"/>
      <w:marTop w:val="0"/>
      <w:marBottom w:val="0"/>
      <w:divBdr>
        <w:top w:val="none" w:sz="0" w:space="0" w:color="auto"/>
        <w:left w:val="none" w:sz="0" w:space="0" w:color="auto"/>
        <w:bottom w:val="none" w:sz="0" w:space="0" w:color="auto"/>
        <w:right w:val="none" w:sz="0" w:space="0" w:color="auto"/>
      </w:divBdr>
    </w:div>
    <w:div w:id="185461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1991D-5479-4FF0-B5FD-E48CCBFFE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15</Pages>
  <Words>5120</Words>
  <Characters>29190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Luda</dc:creator>
  <cp:lastModifiedBy>User416b</cp:lastModifiedBy>
  <cp:revision>72</cp:revision>
  <cp:lastPrinted>2021-08-16T12:40:00Z</cp:lastPrinted>
  <dcterms:created xsi:type="dcterms:W3CDTF">2021-08-15T19:45:00Z</dcterms:created>
  <dcterms:modified xsi:type="dcterms:W3CDTF">2021-08-17T08:03:00Z</dcterms:modified>
</cp:coreProperties>
</file>