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F" w:rsidRPr="001F1AA8" w:rsidRDefault="001F1AA8" w:rsidP="00B414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s-arc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012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</w:p>
    <w:p w:rsidR="00244D09" w:rsidRPr="003D3E9A" w:rsidRDefault="00244D09" w:rsidP="00B4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B4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062717" w:rsidP="00E05285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6733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  <w:r w:rsidR="0024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5A8">
        <w:rPr>
          <w:rFonts w:ascii="Times New Roman" w:hAnsi="Times New Roman" w:cs="Times New Roman"/>
          <w:sz w:val="28"/>
          <w:szCs w:val="28"/>
          <w:lang w:val="uk-UA"/>
        </w:rPr>
        <w:t>документації: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338">
        <w:rPr>
          <w:rFonts w:ascii="Times New Roman" w:hAnsi="Times New Roman" w:cs="Times New Roman"/>
          <w:sz w:val="28"/>
          <w:szCs w:val="28"/>
          <w:lang w:val="uk-UA"/>
        </w:rPr>
        <w:t xml:space="preserve">«Коригування: детальний план мікрорайону «Північний» в </w:t>
      </w:r>
      <w:r w:rsidR="00655F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67338">
        <w:rPr>
          <w:rFonts w:ascii="Times New Roman" w:hAnsi="Times New Roman" w:cs="Times New Roman"/>
          <w:sz w:val="28"/>
          <w:szCs w:val="28"/>
          <w:lang w:val="uk-UA"/>
        </w:rPr>
        <w:t>м. Миколаєві</w:t>
      </w:r>
      <w:r w:rsidR="00680B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A63" w:rsidRDefault="00827CD9" w:rsidP="0006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62717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документації -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«Коригування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детальний план мікрорайону «Північний» в м. Миколаєві»,</w:t>
      </w:r>
      <w:r w:rsidR="00A3054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Миколаївської міської ради від 07.06.2018 № 38/2 «Про внесення змін та доповнень до рішення Миколаївської міської ради від 21.12.</w:t>
      </w:r>
      <w:r w:rsidR="003B15E9">
        <w:rPr>
          <w:rFonts w:ascii="Times New Roman" w:hAnsi="Times New Roman" w:cs="Times New Roman"/>
          <w:sz w:val="28"/>
          <w:szCs w:val="28"/>
          <w:lang w:val="uk-UA"/>
        </w:rPr>
        <w:t>2017 № 32/16 «Про затвердження П</w:t>
      </w:r>
      <w:r w:rsidR="00A30543">
        <w:rPr>
          <w:rFonts w:ascii="Times New Roman" w:hAnsi="Times New Roman" w:cs="Times New Roman"/>
          <w:sz w:val="28"/>
          <w:szCs w:val="28"/>
          <w:lang w:val="uk-UA"/>
        </w:rPr>
        <w:t>рограми економічного і соціального розвитку                     м. Миколаєва на 2018-2020 роки»,</w:t>
      </w:r>
      <w:r w:rsidR="002508F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</w:t>
      </w:r>
      <w:r w:rsidR="003B15E9">
        <w:rPr>
          <w:rFonts w:ascii="Times New Roman" w:hAnsi="Times New Roman" w:cs="Times New Roman"/>
          <w:sz w:val="28"/>
          <w:szCs w:val="28"/>
          <w:lang w:val="uk-UA"/>
        </w:rPr>
        <w:t xml:space="preserve"> від 20.12.2019 № 56/70</w:t>
      </w:r>
      <w:r w:rsidR="002508FC">
        <w:rPr>
          <w:rFonts w:ascii="Times New Roman" w:hAnsi="Times New Roman" w:cs="Times New Roman"/>
          <w:sz w:val="28"/>
          <w:szCs w:val="28"/>
          <w:lang w:val="uk-UA"/>
        </w:rPr>
        <w:t xml:space="preserve"> «Про міський бюджет міста Миколаєва на 2020</w:t>
      </w:r>
      <w:r w:rsidR="003B15E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508F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3054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від 26.05.2021 № 426 «Про створення погоджувальної комісії з розгляду спірних питань, що виникли у процесі проведення громадських слухань щодо проектів містобудівної документації – детальних планів територій»,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6271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062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543">
        <w:rPr>
          <w:rFonts w:ascii="Times New Roman" w:hAnsi="Times New Roman" w:cs="Times New Roman"/>
          <w:sz w:val="28"/>
          <w:szCs w:val="28"/>
          <w:lang w:val="uk-UA"/>
        </w:rPr>
        <w:t>16, 19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</w:t>
      </w:r>
      <w:r w:rsidR="00DF798C">
        <w:rPr>
          <w:rFonts w:ascii="Times New Roman" w:hAnsi="Times New Roman" w:cs="Times New Roman"/>
          <w:sz w:val="28"/>
          <w:szCs w:val="28"/>
          <w:lang w:val="uk-UA"/>
        </w:rPr>
        <w:t>я містобудівної документації», п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 </w:t>
      </w:r>
      <w:r w:rsidR="00A30543">
        <w:rPr>
          <w:rFonts w:ascii="Times New Roman" w:eastAsia="Times New Roman" w:hAnsi="Times New Roman" w:cs="Times New Roman"/>
          <w:sz w:val="28"/>
          <w:lang w:val="uk-UA" w:eastAsia="en-US"/>
        </w:rPr>
        <w:t>постанови</w:t>
      </w:r>
      <w:r w:rsidR="002D69D6" w:rsidRPr="002D69D6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Кабінету М</w:t>
      </w:r>
      <w:r w:rsidR="00A30543">
        <w:rPr>
          <w:rFonts w:ascii="Times New Roman" w:eastAsia="Times New Roman" w:hAnsi="Times New Roman" w:cs="Times New Roman"/>
          <w:sz w:val="28"/>
          <w:lang w:val="uk-UA" w:eastAsia="en-US"/>
        </w:rPr>
        <w:t xml:space="preserve">іністрів України від 01.09.2021 </w:t>
      </w:r>
      <w:r w:rsidR="002D69D6" w:rsidRPr="002D69D6">
        <w:rPr>
          <w:rFonts w:ascii="Times New Roman" w:eastAsia="Times New Roman" w:hAnsi="Times New Roman" w:cs="Times New Roman"/>
          <w:sz w:val="28"/>
          <w:lang w:val="uk-UA" w:eastAsia="en-US"/>
        </w:rPr>
        <w:t>№ 926 «Про затвердження Порядку розроблення, оновлення, внесення змін та затвердження містобудівної документації»,</w:t>
      </w:r>
      <w:r w:rsidR="002D69D6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2D69D6" w:rsidRPr="002D69D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ДБН Б.1.1-14:2012 «Склад та зміст детального плану території», затвердженими наказом Міністерства регіонального розвитку, будівництва та житлово-комунального господарства України від 12.03.2012 № 107</w:t>
      </w:r>
      <w:r w:rsidR="002E112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="002D69D6" w:rsidRPr="002D69D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2E1125">
        <w:rPr>
          <w:rFonts w:ascii="Times New Roman" w:hAnsi="Times New Roman" w:cs="Times New Roman"/>
          <w:sz w:val="28"/>
          <w:szCs w:val="28"/>
          <w:lang w:val="uk-UA"/>
        </w:rPr>
        <w:t xml:space="preserve"> пп. 6 п. «а» ч. 1 ст. 31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125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D80A6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8C7F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9D6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8C7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A63" w:rsidRDefault="00D80A63" w:rsidP="0006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A63" w:rsidRDefault="00D80A63" w:rsidP="0006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D69D6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Default="00A70A6F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8C7FB8">
        <w:rPr>
          <w:rFonts w:ascii="Times New Roman" w:hAnsi="Times New Roman" w:cs="Times New Roman"/>
          <w:sz w:val="28"/>
          <w:szCs w:val="28"/>
          <w:lang w:val="uk-UA"/>
        </w:rPr>
        <w:t>Затвердити містобудівну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FB8">
        <w:rPr>
          <w:rFonts w:ascii="Times New Roman" w:hAnsi="Times New Roman" w:cs="Times New Roman"/>
          <w:sz w:val="28"/>
          <w:szCs w:val="28"/>
          <w:lang w:val="uk-UA"/>
        </w:rPr>
        <w:t>документацію</w:t>
      </w:r>
      <w:r w:rsidR="00B655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«Коригування: детальний план мікрорайону «Північний» в м. Миколаєві»</w:t>
      </w:r>
      <w:r w:rsidR="008C7F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9D6" w:rsidRPr="003D3E9A" w:rsidRDefault="002D69D6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E2" w:rsidRDefault="002D69D6" w:rsidP="000E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t>Відділу стандартизації та впровадження електронного врядування Миколаївської міської ради (</w:t>
      </w:r>
      <w:proofErr w:type="spellStart"/>
      <w:r w:rsidR="000E2EE2">
        <w:rPr>
          <w:rFonts w:ascii="Times New Roman" w:hAnsi="Times New Roman" w:cs="Times New Roman"/>
          <w:sz w:val="28"/>
          <w:szCs w:val="28"/>
          <w:lang w:val="uk-UA"/>
        </w:rPr>
        <w:t>Канарському</w:t>
      </w:r>
      <w:proofErr w:type="spellEnd"/>
      <w:r w:rsidR="000E2EE2">
        <w:rPr>
          <w:rFonts w:ascii="Times New Roman" w:hAnsi="Times New Roman" w:cs="Times New Roman"/>
          <w:sz w:val="28"/>
          <w:szCs w:val="28"/>
          <w:lang w:val="uk-UA"/>
        </w:rPr>
        <w:t>) забезпечити розміщення затвердж</w:t>
      </w:r>
      <w:r w:rsidR="003B15E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655A8">
        <w:rPr>
          <w:rFonts w:ascii="Times New Roman" w:hAnsi="Times New Roman" w:cs="Times New Roman"/>
          <w:sz w:val="28"/>
          <w:szCs w:val="28"/>
          <w:lang w:val="uk-UA"/>
        </w:rPr>
        <w:t>ної містобудівної документації: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EE2" w:rsidRPr="003D3E9A">
        <w:rPr>
          <w:rFonts w:ascii="Times New Roman" w:hAnsi="Times New Roman" w:cs="Times New Roman"/>
          <w:sz w:val="28"/>
          <w:szCs w:val="28"/>
          <w:lang w:val="uk-UA"/>
        </w:rPr>
        <w:t>«Коригування: детальний план мікрорайону «Північний» в м. Миколаєві»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порталі Миколаївської міської ради.</w:t>
      </w:r>
    </w:p>
    <w:p w:rsidR="00244D09" w:rsidRPr="003D3E9A" w:rsidRDefault="00244D09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0E2EE2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 рішення покласти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ка міського голови Андрієнка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Ю.Г.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8C7FB8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DF7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С</w:t>
      </w:r>
      <w:r w:rsidR="00DF798C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2F59B0" w:rsidRDefault="00244D09" w:rsidP="006659EF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59B0" w:rsidRDefault="002F59B0" w:rsidP="002F59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</w:t>
      </w:r>
      <w:r w:rsidRPr="00747A57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arc</w:t>
      </w:r>
      <w:r w:rsidRPr="00747A57">
        <w:rPr>
          <w:rFonts w:ascii="Times New Roman" w:hAnsi="Times New Roman" w:cs="Times New Roman"/>
          <w:sz w:val="20"/>
          <w:szCs w:val="20"/>
          <w:lang w:val="uk-UA"/>
        </w:rPr>
        <w:t>-012</w:t>
      </w:r>
      <w:proofErr w:type="gramEnd"/>
      <w:r w:rsidRPr="00747A57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08.11.2021</w:t>
      </w:r>
    </w:p>
    <w:p w:rsidR="00BA5FF8" w:rsidRPr="00BA5FF8" w:rsidRDefault="00BA5FF8" w:rsidP="006659EF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 ЗАПИСКА</w:t>
      </w:r>
    </w:p>
    <w:p w:rsidR="00BA5FF8" w:rsidRPr="00BA5FF8" w:rsidRDefault="00BA5FF8" w:rsidP="00BA5F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0" w:name="_GoBack"/>
      <w:bookmarkEnd w:id="0"/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</w:t>
      </w:r>
      <w:proofErr w:type="spellStart"/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проєк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рішення </w:t>
      </w:r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Миколаївської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B655A8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містобудівної документації: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«Коригування: детальний план мікрорайону «Північний» в м. Миколаєві».</w:t>
      </w:r>
    </w:p>
    <w:p w:rsidR="00BA5FF8" w:rsidRPr="00BA5FF8" w:rsidRDefault="00BA5FF8" w:rsidP="00BA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EF3" w:rsidRPr="00747A57" w:rsidRDefault="00BA5FF8" w:rsidP="00BA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 Суб’єктом   подання  </w:t>
      </w:r>
      <w:proofErr w:type="spellStart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є департамент архітектури та містобудування Миколаївської   міської ради  в особі  директора департаменту архітектури та містобудування Миколаївської міської ради  - головного архітектора     міста    </w:t>
      </w:r>
      <w:proofErr w:type="spellStart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Цимбала</w:t>
      </w:r>
      <w:proofErr w:type="spellEnd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 Анатолійовича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(вул. Адміральська, 20, 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356CF4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tsymbal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mkrada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865053" w:rsidRDefault="00780A1C" w:rsidP="00780A1C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  </w:t>
      </w:r>
    </w:p>
    <w:p w:rsidR="00747A57" w:rsidRPr="00747A57" w:rsidRDefault="00780A1C" w:rsidP="00747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</w:t>
      </w:r>
      <w:r w:rsidR="008650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 </w:t>
      </w:r>
      <w:r w:rsidR="0001381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2. </w:t>
      </w:r>
      <w:r w:rsidR="008650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Розробник </w:t>
      </w:r>
      <w:proofErr w:type="spellStart"/>
      <w:r w:rsidR="00747A5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747A5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рішення -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747A57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архітектури та містобудування Микола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ївської міської ради  - головний архітектор     міста    Цимбал</w:t>
      </w:r>
      <w:r w:rsidR="00747A57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Анатолійович</w:t>
      </w:r>
      <w:r w:rsidR="00747A57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(вул. Адміральська, 20, 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747A57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tsymbal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mkrada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BA5FF8" w:rsidRDefault="00BA5FF8" w:rsidP="00780A1C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</w:p>
    <w:p w:rsidR="00865053" w:rsidRPr="00865053" w:rsidRDefault="00865053" w:rsidP="00013812">
      <w:pPr>
        <w:tabs>
          <w:tab w:val="left" w:pos="10915"/>
          <w:tab w:val="left" w:pos="1134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3. Особа, яка є відповідальною за супроводження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: </w:t>
      </w:r>
      <w:r w:rsidRPr="008650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головний спеціаліст відділу регулювання розвитку міста та розробки містобудівної документації 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архітектури та містобудування Миколаїв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міської ради – 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Ходос</w:t>
      </w:r>
      <w:proofErr w:type="spellEnd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Юлія Олександрівна (вул. Адміральська, 20, 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272, 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тел. 37-07-14)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е-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y.</w:t>
        </w:r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khodos</w:t>
        </w:r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@</w:t>
        </w:r>
        <w:proofErr w:type="spellStart"/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mkrada.gov.ua</w:t>
        </w:r>
        <w:proofErr w:type="spellEnd"/>
      </w:hyperlink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747A57" w:rsidRPr="00747A57" w:rsidRDefault="00865053" w:rsidP="00747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="00B819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7F3EF3" w:rsidRPr="007F3E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Доповідач проекту рішення на профільній комісії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Ради та пленарному засіданні Ради</w:t>
      </w:r>
      <w:r w:rsidR="007F3EF3" w:rsidRPr="007F3E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="007F3EF3" w:rsidRPr="007F3EF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архітектури та містобудування Миколаївської міської ради - головний архітектор міст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– Цимбал Андрій Анатолійович (вул. Адміральська, 20, 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747A57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tsymbal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mkrada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747A57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47A5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7F3EF3" w:rsidRDefault="007F3EF3" w:rsidP="007F3EF3">
      <w:pPr>
        <w:tabs>
          <w:tab w:val="left" w:pos="10915"/>
          <w:tab w:val="left" w:pos="11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053" w:rsidRPr="007F3EF3" w:rsidRDefault="00865053" w:rsidP="007F3EF3">
      <w:pPr>
        <w:tabs>
          <w:tab w:val="left" w:pos="10915"/>
          <w:tab w:val="left" w:pos="11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Опис питання: затвердж</w:t>
      </w:r>
      <w:r w:rsidR="003B15E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655A8">
        <w:rPr>
          <w:rFonts w:ascii="Times New Roman" w:eastAsia="Times New Roman" w:hAnsi="Times New Roman" w:cs="Times New Roman"/>
          <w:sz w:val="28"/>
          <w:szCs w:val="28"/>
          <w:lang w:val="uk-UA"/>
        </w:rPr>
        <w:t>ння містобудівної документації: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«Коригування: детальний план мікрорайону «Північний» в м. Миколаєві».</w:t>
      </w:r>
    </w:p>
    <w:p w:rsidR="007F3EF3" w:rsidRDefault="007F3EF3" w:rsidP="00BA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08FC" w:rsidRDefault="00013812" w:rsidP="002508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</w:t>
      </w:r>
      <w:r w:rsidR="003223AC">
        <w:rPr>
          <w:rFonts w:ascii="Times New Roman" w:eastAsia="Times New Roman" w:hAnsi="Times New Roman" w:cs="Times New Roman"/>
          <w:sz w:val="28"/>
          <w:szCs w:val="28"/>
          <w:lang w:val="uk-UA"/>
        </w:rPr>
        <w:t>. Підстава для проектування:</w:t>
      </w:r>
    </w:p>
    <w:p w:rsidR="002508FC" w:rsidRDefault="002508FC" w:rsidP="0025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Миколаївської міської ради від 07.06.2018 № 38/2 «Про внесення змін та доповнень до рішення Миколаївської міської ради від 21.12.2017 № 32/16 «Про затвердження програми економічного і соціального розвитку                     м. Миколаєва на 2018-2020 роки»;</w:t>
      </w:r>
    </w:p>
    <w:p w:rsidR="002508FC" w:rsidRDefault="002508FC" w:rsidP="002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Миколаївської міської ради «Про міський бюджет міста Миколаєва</w:t>
      </w:r>
      <w:r w:rsidR="00013812">
        <w:rPr>
          <w:rFonts w:ascii="Times New Roman" w:hAnsi="Times New Roman" w:cs="Times New Roman"/>
          <w:sz w:val="28"/>
          <w:szCs w:val="28"/>
          <w:lang w:val="uk-UA"/>
        </w:rPr>
        <w:t xml:space="preserve"> на 2020» від 20.12.2019р. № 56/70;</w:t>
      </w:r>
    </w:p>
    <w:p w:rsidR="003223AC" w:rsidRDefault="003223AC" w:rsidP="0032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ст.</w:t>
      </w:r>
      <w:r w:rsid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16,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 Закону України «Про регулювання містобудівної діяльності»;</w:t>
      </w:r>
    </w:p>
    <w:p w:rsidR="003223AC" w:rsidRDefault="003223AC" w:rsidP="003223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договір № 5 від 10.03.2020р. на розроблення містобудівної документації;</w:t>
      </w:r>
    </w:p>
    <w:p w:rsidR="003223AC" w:rsidRPr="007F3EF3" w:rsidRDefault="003223AC" w:rsidP="0032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завдання на проектування.</w:t>
      </w:r>
    </w:p>
    <w:p w:rsidR="000E13EA" w:rsidRDefault="00BA5FF8" w:rsidP="00BA5FF8">
      <w:pPr>
        <w:spacing w:after="0" w:line="240" w:lineRule="auto"/>
        <w:jc w:val="both"/>
        <w:rPr>
          <w:lang w:val="uk-UA"/>
        </w:rPr>
      </w:pPr>
      <w:r w:rsidRPr="00BA5F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 Миколаївської міської ради  </w:t>
      </w:r>
      <w:r w:rsidR="006659EF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</w:t>
      </w:r>
      <w:r w:rsidR="003B15E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655A8">
        <w:rPr>
          <w:rFonts w:ascii="Times New Roman" w:eastAsia="Times New Roman" w:hAnsi="Times New Roman" w:cs="Times New Roman"/>
          <w:sz w:val="28"/>
          <w:szCs w:val="28"/>
          <w:lang w:val="uk-UA"/>
        </w:rPr>
        <w:t>ння містобудівної документації:</w:t>
      </w:r>
      <w:r w:rsidR="006659EF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«Коригування:  детальний план мікрорай</w:t>
      </w:r>
      <w:r w:rsid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ону </w:t>
      </w:r>
      <w:r w:rsidR="00356C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«Північний» в м. Миколаєві»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(ДПТ) передбачається затвердити   містобудівну документацію   на місцевому рівні   з метою</w:t>
      </w:r>
      <w:r w:rsidR="000E13E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13EA">
        <w:t xml:space="preserve"> </w:t>
      </w:r>
    </w:p>
    <w:p w:rsidR="000E13EA" w:rsidRPr="000E13EA" w:rsidRDefault="000E13EA" w:rsidP="00BA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крупному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генерального плану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BA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планувальної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ландшафтної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планувальних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нормами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санітарно-гігієнічними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нормами</w:t>
      </w:r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>визначення містобудівних умов та обмежень</w:t>
      </w: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потреб формування нових земельних ділянок та визначення їх цільового призначення, зображення існуючих земельних ділянок та їх функціонального використання;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передбачається розміщення об’єктів громадського обслуговування населення, в тому числі: закладів дошкільної освіти та закладів загальної середньої освіти;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0E13E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прибережної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захисної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Інгул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організації транспортного і пішохідного руху, розміщення місць паркування транспортних засобів;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передбачається реконструкція та улаштування нової мережі вулиць, </w:t>
      </w:r>
      <w:proofErr w:type="spellStart"/>
      <w:r w:rsidRPr="0063461A">
        <w:rPr>
          <w:rFonts w:ascii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доріг з ув’язкою їх з пішохідною мережею;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розв’язки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proofErr w:type="gramStart"/>
      <w:r w:rsidRPr="000E13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перехрестях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0E13E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велоінфраструктури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мікрорайоні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визначаються нові та упорядковуються існуючі озеленені території загального користування, планується устрій набережних, пляжів та території об’єктів рекреаційного призначення;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мікрорайонів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ідземного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>.</w:t>
      </w:r>
    </w:p>
    <w:p w:rsidR="000E13EA" w:rsidRDefault="0063461A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22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2 Закону України «Про регулювання містобудівної діяльності», містобудівна документація підлягає стратегічній екологічній оцінці в порядку, встановленому Законом України «Про стратегічну екологічну оцінку». Розділ «Охорона навколишнього природного середовища», що розробляється у складі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документації, одночасно є звітом пр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>о стратегічну екологічну оцінку.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те, що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ДДП підлягає процедурі СЕО, оприлюднене на сайті Миколаївської міської ради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mkrada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527832" w:rsidRDefault="0063461A" w:rsidP="0032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Територія, яка </w:t>
      </w:r>
      <w:proofErr w:type="spellStart"/>
      <w:r w:rsidRPr="0063461A">
        <w:rPr>
          <w:rFonts w:ascii="Times New Roman" w:hAnsi="Times New Roman" w:cs="Times New Roman"/>
          <w:sz w:val="28"/>
          <w:szCs w:val="28"/>
          <w:lang w:val="uk-UA"/>
        </w:rPr>
        <w:t>проєктується</w:t>
      </w:r>
      <w:proofErr w:type="spellEnd"/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в північній частині міста Миколаїв, південніше селища Тернівка, прилягає до річки Інгул своєю південною та південно-східними частинами.</w:t>
      </w:r>
      <w:r w:rsidR="00527832" w:rsidRPr="00527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7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Площа розробки детального плану складає площу</w:t>
      </w:r>
      <w:r w:rsidR="00527832" w:rsidRPr="00356C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30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="00527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га.</w:t>
      </w:r>
    </w:p>
    <w:p w:rsidR="000E13EA" w:rsidRDefault="0063461A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34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61A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запроєктований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до генерального плану м.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в основному до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сельбищної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>.</w:t>
      </w:r>
      <w:r w:rsidRPr="0063461A"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Проєктне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неосвоєних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ув’язці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існуючою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забудовою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>.</w:t>
      </w:r>
      <w:r w:rsidRPr="0063461A"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lastRenderedPageBreak/>
        <w:t>Проєктом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34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61A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», яке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>.</w:t>
      </w:r>
    </w:p>
    <w:p w:rsidR="00527832" w:rsidRDefault="00527832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832">
        <w:rPr>
          <w:rFonts w:ascii="Times New Roman" w:hAnsi="Times New Roman" w:cs="Times New Roman"/>
          <w:sz w:val="28"/>
          <w:szCs w:val="28"/>
          <w:lang w:val="uk-UA"/>
        </w:rPr>
        <w:t>Так освоєння території передбачається в наступних напрямах: завершення забудови, яка складається з житлових багатоповерхових будівель та закладу охорони здоров’я; розпланування території під нове багатоквартирне житлове будівництво та дошкільних і середніх навчальних закладів; озеленення територій загального користування; планування паркінгів та громадських підприємств обслуговування; будівництво торгово-розважального центру, який включає продовольчі та промтоварні магазини типу «супермаркет», підприємства громадського харчування (кафе), фітнес центр, дитячий розважальний центр та стоянки для тимчасового зберігання автомобілів; запроектовано парк відпочинку на схилах річки Інгул. Детальним планом передбачається об'єднання всіх окремих ділянок зелених насаджень у єдину систему зі створенням «комплексної» зеленої лінії.</w:t>
      </w:r>
    </w:p>
    <w:p w:rsidR="00527832" w:rsidRDefault="00527832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832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Pr="0052783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проєктуємій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, земель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, земель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оборони,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транспорту, земель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лісного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27832">
        <w:rPr>
          <w:rFonts w:ascii="Times New Roman" w:hAnsi="Times New Roman" w:cs="Times New Roman"/>
          <w:sz w:val="28"/>
          <w:szCs w:val="28"/>
        </w:rPr>
        <w:t>.</w:t>
      </w:r>
    </w:p>
    <w:p w:rsidR="00527832" w:rsidRDefault="00527832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832">
        <w:rPr>
          <w:rFonts w:ascii="Times New Roman" w:hAnsi="Times New Roman" w:cs="Times New Roman"/>
          <w:sz w:val="28"/>
          <w:szCs w:val="28"/>
          <w:lang w:val="uk-UA"/>
        </w:rPr>
        <w:t xml:space="preserve">Режим забудови території </w:t>
      </w:r>
      <w:proofErr w:type="spellStart"/>
      <w:r w:rsidRPr="00527832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52783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використання даної території в більшості для об’єктів громадського, рекреаційного призначення, а також садибної та багатоквартирної житлової забудови.</w:t>
      </w:r>
    </w:p>
    <w:p w:rsidR="009B0E3B" w:rsidRDefault="009B0E3B" w:rsidP="009B0E3B">
      <w:pPr>
        <w:spacing w:after="0" w:line="240" w:lineRule="auto"/>
        <w:ind w:left="993" w:right="284"/>
        <w:jc w:val="center"/>
        <w:rPr>
          <w:b/>
          <w:sz w:val="24"/>
          <w:szCs w:val="24"/>
          <w:lang w:val="uk-UA"/>
        </w:rPr>
      </w:pPr>
    </w:p>
    <w:p w:rsidR="009B0E3B" w:rsidRPr="00D73FA9" w:rsidRDefault="009B0E3B" w:rsidP="009B0E3B">
      <w:pPr>
        <w:spacing w:after="0" w:line="240" w:lineRule="auto"/>
        <w:ind w:left="993" w:right="284"/>
        <w:jc w:val="center"/>
        <w:rPr>
          <w:b/>
          <w:sz w:val="24"/>
          <w:szCs w:val="24"/>
        </w:rPr>
      </w:pPr>
      <w:r w:rsidRPr="00D73FA9">
        <w:rPr>
          <w:b/>
          <w:sz w:val="24"/>
          <w:szCs w:val="24"/>
        </w:rPr>
        <w:t xml:space="preserve">ОСНОВНІ </w:t>
      </w:r>
      <w:proofErr w:type="gramStart"/>
      <w:r w:rsidRPr="00D73FA9">
        <w:rPr>
          <w:b/>
          <w:sz w:val="24"/>
          <w:szCs w:val="24"/>
        </w:rPr>
        <w:t>ТЕХН</w:t>
      </w:r>
      <w:proofErr w:type="gramEnd"/>
      <w:r w:rsidRPr="00D73FA9">
        <w:rPr>
          <w:b/>
          <w:sz w:val="24"/>
          <w:szCs w:val="24"/>
        </w:rPr>
        <w:t>ІКО-ЕКОНОМІЧНІ ПОКАЗНИКИ ДЕТАЛЬНОГО ПЛАНУ ТЕРИТОРІЇ</w:t>
      </w:r>
    </w:p>
    <w:p w:rsidR="009B0E3B" w:rsidRPr="00373F96" w:rsidRDefault="009B0E3B" w:rsidP="009B0E3B">
      <w:pPr>
        <w:pStyle w:val="1"/>
        <w:rPr>
          <w:i/>
        </w:rPr>
      </w:pPr>
    </w:p>
    <w:tbl>
      <w:tblPr>
        <w:tblW w:w="10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5736"/>
        <w:gridCol w:w="1309"/>
        <w:gridCol w:w="1308"/>
        <w:gridCol w:w="1452"/>
      </w:tblGrid>
      <w:tr w:rsidR="009B0E3B" w:rsidRPr="00E445CC" w:rsidTr="00CF2C7A">
        <w:trPr>
          <w:trHeight w:val="56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bookmarkStart w:id="1" w:name="OLE_LINK12"/>
            <w:bookmarkStart w:id="2" w:name="OLE_LINK13"/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Показники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Одиниця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r w:rsidRPr="00F90415">
              <w:rPr>
                <w:rFonts w:ascii="Cambria" w:hAnsi="Cambria"/>
                <w:b/>
              </w:rPr>
              <w:t>виміру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Вихідний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</w:t>
            </w:r>
          </w:p>
          <w:p w:rsidR="009B0E3B" w:rsidRPr="00FA328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F90415">
              <w:rPr>
                <w:rFonts w:ascii="Cambria" w:hAnsi="Cambria"/>
                <w:b/>
              </w:rPr>
              <w:t>р</w:t>
            </w:r>
            <w:proofErr w:type="gramEnd"/>
            <w:r w:rsidRPr="00F90415">
              <w:rPr>
                <w:rFonts w:ascii="Cambria" w:hAnsi="Cambria"/>
                <w:b/>
              </w:rPr>
              <w:t>ік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на 01.01.20</w:t>
            </w: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A328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Розрахунковий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r w:rsidRPr="00F90415">
              <w:rPr>
                <w:rFonts w:ascii="Cambria" w:hAnsi="Cambria"/>
                <w:b/>
              </w:rPr>
              <w:t>пері</w:t>
            </w:r>
            <w:proofErr w:type="gramStart"/>
            <w:r w:rsidRPr="00F90415">
              <w:rPr>
                <w:rFonts w:ascii="Cambria" w:hAnsi="Cambria"/>
                <w:b/>
              </w:rPr>
              <w:t>од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на</w:t>
            </w:r>
            <w:proofErr w:type="gramEnd"/>
            <w:r w:rsidRPr="00F90415">
              <w:rPr>
                <w:rFonts w:ascii="Cambria" w:hAnsi="Cambria"/>
                <w:b/>
              </w:rPr>
              <w:t xml:space="preserve"> 01.01.20</w:t>
            </w:r>
            <w:r>
              <w:rPr>
                <w:rFonts w:ascii="Cambria" w:hAnsi="Cambria"/>
                <w:b/>
              </w:rPr>
              <w:t>40</w:t>
            </w:r>
          </w:p>
        </w:tc>
      </w:tr>
      <w:tr w:rsidR="009B0E3B" w:rsidRPr="00E445CC" w:rsidTr="00CF2C7A">
        <w:trPr>
          <w:trHeight w:val="10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4</w:t>
            </w:r>
          </w:p>
        </w:tc>
      </w:tr>
      <w:tr w:rsidR="009B0E3B" w:rsidRPr="00E445CC" w:rsidTr="00CF2C7A">
        <w:trPr>
          <w:trHeight w:val="39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F90415">
              <w:rPr>
                <w:rFonts w:ascii="Cambria" w:hAnsi="Cambria"/>
                <w:b/>
              </w:rPr>
              <w:t>1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Населення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F90415">
              <w:rPr>
                <w:rFonts w:ascii="Cambria" w:hAnsi="Cambria"/>
                <w:b/>
              </w:rPr>
              <w:t>тис</w:t>
            </w:r>
            <w:proofErr w:type="gramStart"/>
            <w:r w:rsidRPr="00F90415">
              <w:rPr>
                <w:rFonts w:ascii="Cambria" w:hAnsi="Cambria"/>
                <w:b/>
              </w:rPr>
              <w:t>.</w:t>
            </w:r>
            <w:proofErr w:type="gram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F90415">
              <w:rPr>
                <w:rFonts w:ascii="Cambria" w:hAnsi="Cambria"/>
                <w:b/>
              </w:rPr>
              <w:t>ч</w:t>
            </w:r>
            <w:proofErr w:type="gramEnd"/>
            <w:r w:rsidRPr="00F90415">
              <w:rPr>
                <w:rFonts w:ascii="Cambria" w:hAnsi="Cambria"/>
                <w:b/>
              </w:rPr>
              <w:t>ол</w:t>
            </w:r>
            <w:proofErr w:type="spellEnd"/>
            <w:r w:rsidRPr="00F90415">
              <w:rPr>
                <w:rFonts w:ascii="Cambria" w:hAnsi="Cambria"/>
                <w:b/>
              </w:rPr>
              <w:t>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9,273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Pr="00F90415">
              <w:rPr>
                <w:rFonts w:ascii="Cambria" w:hAnsi="Cambria"/>
                <w:b/>
              </w:rPr>
              <w:t>,</w:t>
            </w:r>
            <w:r>
              <w:rPr>
                <w:rFonts w:ascii="Cambria" w:hAnsi="Cambria"/>
                <w:b/>
              </w:rPr>
              <w:t>554</w:t>
            </w:r>
          </w:p>
        </w:tc>
      </w:tr>
      <w:tr w:rsidR="009B0E3B" w:rsidRPr="00E445CC" w:rsidTr="00CF2C7A">
        <w:trPr>
          <w:trHeight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E33C1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E33C1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BE33C1">
              <w:rPr>
                <w:rFonts w:ascii="Cambria" w:hAnsi="Cambria"/>
                <w:b/>
              </w:rPr>
              <w:t>Площа</w:t>
            </w:r>
            <w:proofErr w:type="spellEnd"/>
            <w:r w:rsidRPr="00BE33C1">
              <w:rPr>
                <w:rFonts w:ascii="Cambria" w:hAnsi="Cambria"/>
                <w:b/>
              </w:rPr>
              <w:t xml:space="preserve"> </w:t>
            </w:r>
            <w:proofErr w:type="spellStart"/>
            <w:r w:rsidRPr="00BE33C1">
              <w:rPr>
                <w:rFonts w:ascii="Cambria" w:hAnsi="Cambria"/>
                <w:b/>
              </w:rPr>
              <w:t>території</w:t>
            </w:r>
            <w:proofErr w:type="spellEnd"/>
            <w:r w:rsidRPr="00BE33C1">
              <w:rPr>
                <w:rFonts w:ascii="Cambria" w:hAnsi="Cambria"/>
                <w:b/>
              </w:rPr>
              <w:t xml:space="preserve"> </w:t>
            </w:r>
            <w:proofErr w:type="spellStart"/>
            <w:r w:rsidRPr="00BE33C1">
              <w:rPr>
                <w:rFonts w:ascii="Cambria" w:hAnsi="Cambria"/>
                <w:b/>
              </w:rPr>
              <w:t>проєктування</w:t>
            </w:r>
            <w:proofErr w:type="spellEnd"/>
            <w:r w:rsidRPr="00BE33C1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E33C1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9041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90,00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873CF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90,00</w:t>
            </w:r>
          </w:p>
        </w:tc>
      </w:tr>
      <w:tr w:rsidR="009B0E3B" w:rsidRPr="00E445CC" w:rsidTr="00CF2C7A">
        <w:trPr>
          <w:trHeight w:val="372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 xml:space="preserve">у </w:t>
            </w:r>
            <w:proofErr w:type="spellStart"/>
            <w:r w:rsidRPr="009E620C">
              <w:rPr>
                <w:rFonts w:ascii="Cambria" w:hAnsi="Cambria"/>
                <w:b/>
              </w:rPr>
              <w:t>т.ч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.: </w:t>
            </w:r>
            <w:proofErr w:type="spellStart"/>
            <w:r w:rsidRPr="009E620C">
              <w:rPr>
                <w:rFonts w:ascii="Cambria" w:hAnsi="Cambria"/>
                <w:b/>
              </w:rPr>
              <w:t>житлової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620C">
              <w:rPr>
                <w:rFonts w:ascii="Cambria" w:hAnsi="Cambria"/>
                <w:b/>
              </w:rPr>
              <w:t>забудови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43,05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873CF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F873CF">
              <w:rPr>
                <w:rFonts w:ascii="Cambria" w:hAnsi="Cambria"/>
                <w:b/>
              </w:rPr>
              <w:t>40,5</w:t>
            </w:r>
            <w:r>
              <w:rPr>
                <w:rFonts w:ascii="Cambria" w:hAnsi="Cambria"/>
                <w:b/>
              </w:rPr>
              <w:t>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садибної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10,78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F2271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2E12DC">
              <w:rPr>
                <w:rFonts w:ascii="Cambria" w:hAnsi="Cambria"/>
              </w:rPr>
              <w:t>11,05</w:t>
            </w:r>
          </w:p>
        </w:tc>
      </w:tr>
      <w:tr w:rsidR="009B0E3B" w:rsidRPr="00E445CC" w:rsidTr="00CF2C7A">
        <w:trPr>
          <w:trHeight w:val="35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27AD7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proofErr w:type="spellStart"/>
            <w:r w:rsidRPr="00C27AD7">
              <w:rPr>
                <w:rFonts w:ascii="Cambria" w:hAnsi="Cambria"/>
              </w:rPr>
              <w:t>блокованої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C27AD7" w:rsidRDefault="009B0E3B" w:rsidP="00CF2C7A">
            <w:pPr>
              <w:jc w:val="center"/>
              <w:rPr>
                <w:rFonts w:ascii="Cambria" w:hAnsi="Cambria"/>
              </w:rPr>
            </w:pPr>
            <w:r w:rsidRPr="00C27AD7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27AD7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6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proofErr w:type="spellStart"/>
            <w:r w:rsidRPr="00B51A43">
              <w:rPr>
                <w:rFonts w:ascii="Cambria" w:hAnsi="Cambria"/>
              </w:rPr>
              <w:t>багатоквартирної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B51A43" w:rsidRDefault="009B0E3B" w:rsidP="00CF2C7A">
            <w:pPr>
              <w:jc w:val="center"/>
              <w:rPr>
                <w:rFonts w:ascii="Cambria" w:hAnsi="Cambria"/>
              </w:rPr>
            </w:pPr>
            <w:r w:rsidRPr="00B51A43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32,27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2E12DC">
              <w:rPr>
                <w:rFonts w:ascii="Cambria" w:hAnsi="Cambria"/>
              </w:rPr>
              <w:t>29,4</w:t>
            </w:r>
            <w:r>
              <w:rPr>
                <w:rFonts w:ascii="Cambria" w:hAnsi="Cambria"/>
              </w:rPr>
              <w:t>8</w:t>
            </w:r>
          </w:p>
        </w:tc>
      </w:tr>
      <w:tr w:rsidR="009B0E3B" w:rsidRPr="00E445CC" w:rsidTr="00CF2C7A">
        <w:trPr>
          <w:trHeight w:val="46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rPr>
                <w:rFonts w:ascii="Cambria" w:hAnsi="Cambria"/>
              </w:rPr>
            </w:pPr>
            <w:proofErr w:type="spellStart"/>
            <w:r w:rsidRPr="00B51A43">
              <w:rPr>
                <w:rFonts w:ascii="Cambria" w:hAnsi="Cambria"/>
                <w:b/>
              </w:rPr>
              <w:t>Громадської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51A43">
              <w:rPr>
                <w:rFonts w:ascii="Cambria" w:hAnsi="Cambria"/>
                <w:b/>
              </w:rPr>
              <w:t>забудови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, </w:t>
            </w:r>
            <w:proofErr w:type="spellStart"/>
            <w:r w:rsidRPr="00B51A43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B51A43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B51A43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10,28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A2448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13,10</w:t>
            </w:r>
          </w:p>
        </w:tc>
      </w:tr>
      <w:tr w:rsidR="009B0E3B" w:rsidRPr="00E445CC" w:rsidTr="00CF2C7A">
        <w:trPr>
          <w:trHeight w:val="46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4481D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A4481D">
              <w:rPr>
                <w:rFonts w:ascii="Cambria" w:hAnsi="Cambria"/>
                <w:b/>
              </w:rPr>
              <w:t>Виробничої</w:t>
            </w:r>
            <w:proofErr w:type="spellEnd"/>
            <w:r w:rsidRPr="00A4481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A4481D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A4481D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A4481D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4481D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0,10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9B0E3B" w:rsidRPr="00E445CC" w:rsidTr="00CF2C7A">
        <w:trPr>
          <w:trHeight w:val="48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20D3A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620D3A">
              <w:rPr>
                <w:rFonts w:ascii="Cambria" w:hAnsi="Cambria"/>
                <w:b/>
              </w:rPr>
              <w:t>Комунальної</w:t>
            </w:r>
            <w:proofErr w:type="spellEnd"/>
            <w:r w:rsidRPr="00620D3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20D3A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620D3A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620D3A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B" w:rsidRPr="00620D3A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1,97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2,03</w:t>
            </w:r>
          </w:p>
        </w:tc>
      </w:tr>
      <w:tr w:rsidR="009B0E3B" w:rsidRPr="00E445CC" w:rsidTr="00CF2C7A">
        <w:trPr>
          <w:trHeight w:val="34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293F78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293F78">
              <w:rPr>
                <w:rFonts w:ascii="Cambria" w:hAnsi="Cambria"/>
                <w:b/>
              </w:rPr>
              <w:t>Інженерної</w:t>
            </w:r>
            <w:proofErr w:type="spellEnd"/>
            <w:r w:rsidRPr="00293F7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93F78">
              <w:rPr>
                <w:rFonts w:ascii="Cambria" w:hAnsi="Cambria"/>
                <w:b/>
              </w:rPr>
              <w:t>інфраструктури</w:t>
            </w:r>
            <w:proofErr w:type="spellEnd"/>
            <w:r w:rsidRPr="00293F7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93F7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293F78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293F78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293F7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293F78">
              <w:rPr>
                <w:rFonts w:ascii="Cambria" w:hAnsi="Cambria"/>
                <w:b/>
              </w:rPr>
              <w:t>1,</w:t>
            </w: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 w:rsidRPr="00A4481D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,76</w:t>
            </w:r>
          </w:p>
        </w:tc>
      </w:tr>
      <w:tr w:rsidR="009B0E3B" w:rsidRPr="00E445CC" w:rsidTr="00CF2C7A">
        <w:trPr>
          <w:trHeight w:val="40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9E620C">
              <w:rPr>
                <w:rFonts w:ascii="Cambria" w:hAnsi="Cambria"/>
                <w:b/>
              </w:rPr>
              <w:t>Транспортної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620C">
              <w:rPr>
                <w:rFonts w:ascii="Cambria" w:hAnsi="Cambria"/>
                <w:b/>
              </w:rPr>
              <w:t>інфраструктури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8,98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6627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10,61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у т. ч. </w:t>
            </w:r>
            <w:proofErr w:type="spellStart"/>
            <w:r w:rsidRPr="009E620C">
              <w:rPr>
                <w:rFonts w:ascii="Cambria" w:hAnsi="Cambria"/>
              </w:rPr>
              <w:t>вулично-дорожньої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мережі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7,36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6627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9,28</w:t>
            </w:r>
          </w:p>
        </w:tc>
      </w:tr>
      <w:tr w:rsidR="009B0E3B" w:rsidRPr="00E445CC" w:rsidTr="00CF2C7A">
        <w:trPr>
          <w:trHeight w:val="42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зовнішнього</w:t>
            </w:r>
            <w:proofErr w:type="spellEnd"/>
            <w:r w:rsidRPr="009E620C">
              <w:rPr>
                <w:rFonts w:ascii="Cambria" w:hAnsi="Cambria"/>
              </w:rPr>
              <w:t xml:space="preserve"> транспорту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1,62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620D3A">
              <w:rPr>
                <w:rFonts w:ascii="Cambria" w:hAnsi="Cambria"/>
              </w:rPr>
              <w:t>1,</w:t>
            </w:r>
            <w:r>
              <w:rPr>
                <w:rFonts w:ascii="Cambria" w:hAnsi="Cambria"/>
              </w:rPr>
              <w:t>33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26798A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Ландшафтно-</w:t>
            </w:r>
            <w:proofErr w:type="spellStart"/>
            <w:r w:rsidRPr="009E620C">
              <w:rPr>
                <w:rFonts w:ascii="Cambria" w:hAnsi="Cambria"/>
                <w:b/>
              </w:rPr>
              <w:t>рекреаційної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та </w:t>
            </w:r>
            <w:proofErr w:type="spellStart"/>
            <w:r w:rsidRPr="009E620C">
              <w:rPr>
                <w:rFonts w:ascii="Cambria" w:hAnsi="Cambria"/>
                <w:b/>
              </w:rPr>
              <w:t>озелененої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18,27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A244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16,059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в т. ч. </w:t>
            </w:r>
            <w:proofErr w:type="spellStart"/>
            <w:r w:rsidRPr="009E620C">
              <w:rPr>
                <w:rFonts w:ascii="Cambria" w:hAnsi="Cambria"/>
              </w:rPr>
              <w:t>загального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користування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A244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2,099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рекреаційного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призначення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0,28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4174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10,15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ind w:left="900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в межах </w:t>
            </w:r>
            <w:proofErr w:type="spellStart"/>
            <w:r w:rsidRPr="009E620C">
              <w:rPr>
                <w:rFonts w:ascii="Cambria" w:hAnsi="Cambria"/>
              </w:rPr>
              <w:t>санітарно-захисних</w:t>
            </w:r>
            <w:proofErr w:type="spellEnd"/>
            <w:r w:rsidRPr="009E620C">
              <w:rPr>
                <w:rFonts w:ascii="Cambria" w:hAnsi="Cambria"/>
              </w:rPr>
              <w:t xml:space="preserve"> зон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17,99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4174C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3,81</w:t>
            </w:r>
          </w:p>
        </w:tc>
      </w:tr>
      <w:tr w:rsidR="009B0E3B" w:rsidRPr="00E445CC" w:rsidTr="00CF2C7A">
        <w:trPr>
          <w:trHeight w:val="41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Природно-</w:t>
            </w:r>
            <w:proofErr w:type="spellStart"/>
            <w:r w:rsidRPr="009E620C">
              <w:rPr>
                <w:rFonts w:ascii="Cambria" w:hAnsi="Cambria"/>
                <w:b/>
              </w:rPr>
              <w:t>заповідного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фонду,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9E620C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620C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2A5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AF2A58">
              <w:rPr>
                <w:rFonts w:ascii="Cambria" w:hAnsi="Cambria"/>
                <w:b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2C3D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2C3D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352C3D">
              <w:rPr>
                <w:rFonts w:ascii="Cambria" w:hAnsi="Cambria"/>
                <w:b/>
              </w:rPr>
              <w:t>Водних</w:t>
            </w:r>
            <w:proofErr w:type="spellEnd"/>
            <w:r w:rsidRPr="00352C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352C3D">
              <w:rPr>
                <w:rFonts w:ascii="Cambria" w:hAnsi="Cambria"/>
                <w:b/>
              </w:rPr>
              <w:t>поверхонь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352C3D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352C3D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2C3D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5,71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2C3D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4,39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B51A43">
              <w:rPr>
                <w:rFonts w:ascii="Cambria" w:hAnsi="Cambria"/>
                <w:b/>
              </w:rPr>
              <w:t>Сільськогосподарських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51A43">
              <w:rPr>
                <w:rFonts w:ascii="Cambria" w:hAnsi="Cambria"/>
                <w:b/>
              </w:rPr>
              <w:t>угідь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B51A43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B51A43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51A43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0,52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847B2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0,52</w:t>
            </w:r>
          </w:p>
        </w:tc>
      </w:tr>
      <w:tr w:rsidR="009B0E3B" w:rsidRPr="00E445CC" w:rsidTr="00CF2C7A">
        <w:trPr>
          <w:trHeight w:val="4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4174C" w:rsidRDefault="009B0E3B" w:rsidP="00CF2C7A">
            <w:pPr>
              <w:widowControl w:val="0"/>
              <w:rPr>
                <w:rFonts w:ascii="Cambria" w:hAnsi="Cambria"/>
                <w:b/>
              </w:rPr>
            </w:pPr>
            <w:proofErr w:type="spellStart"/>
            <w:r w:rsidRPr="0064174C">
              <w:rPr>
                <w:rFonts w:ascii="Cambria" w:hAnsi="Cambria"/>
                <w:b/>
              </w:rPr>
              <w:t>Інші</w:t>
            </w:r>
            <w:proofErr w:type="spellEnd"/>
            <w:r w:rsidRPr="0064174C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174C">
              <w:rPr>
                <w:rFonts w:ascii="Cambria" w:hAnsi="Cambria"/>
                <w:b/>
              </w:rPr>
              <w:t>території</w:t>
            </w:r>
            <w:proofErr w:type="spellEnd"/>
            <w:r w:rsidRPr="0064174C">
              <w:rPr>
                <w:rFonts w:ascii="Cambria" w:hAnsi="Cambria"/>
                <w:b/>
              </w:rPr>
              <w:t xml:space="preserve"> </w:t>
            </w:r>
          </w:p>
          <w:p w:rsidR="009B0E3B" w:rsidRPr="0064174C" w:rsidRDefault="009B0E3B" w:rsidP="00CF2C7A">
            <w:pPr>
              <w:widowControl w:val="0"/>
              <w:rPr>
                <w:rFonts w:ascii="Cambria" w:hAnsi="Cambria"/>
                <w:b/>
              </w:rPr>
            </w:pPr>
            <w:r w:rsidRPr="0064174C">
              <w:rPr>
                <w:rFonts w:ascii="Cambria" w:hAnsi="Cambria"/>
                <w:b/>
              </w:rPr>
              <w:t>(</w:t>
            </w:r>
            <w:proofErr w:type="gramStart"/>
            <w:r w:rsidRPr="0064174C">
              <w:rPr>
                <w:rFonts w:ascii="Cambria" w:hAnsi="Cambria"/>
                <w:b/>
              </w:rPr>
              <w:t>в</w:t>
            </w:r>
            <w:proofErr w:type="gramEnd"/>
            <w:r w:rsidRPr="0064174C">
              <w:rPr>
                <w:rFonts w:ascii="Cambria" w:hAnsi="Cambria"/>
                <w:b/>
              </w:rPr>
              <w:t xml:space="preserve"> тому </w:t>
            </w:r>
            <w:proofErr w:type="spellStart"/>
            <w:r w:rsidRPr="0064174C">
              <w:rPr>
                <w:rFonts w:ascii="Cambria" w:hAnsi="Cambria"/>
                <w:b/>
              </w:rPr>
              <w:t>числі</w:t>
            </w:r>
            <w:proofErr w:type="spellEnd"/>
            <w:r w:rsidRPr="0064174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174C">
              <w:rPr>
                <w:rFonts w:ascii="Cambria" w:hAnsi="Cambria"/>
                <w:b/>
                <w:u w:val="single"/>
              </w:rPr>
              <w:t>історико</w:t>
            </w:r>
            <w:proofErr w:type="spellEnd"/>
            <w:r w:rsidRPr="0064174C">
              <w:rPr>
                <w:rFonts w:ascii="Cambria" w:hAnsi="Cambria"/>
                <w:b/>
                <w:u w:val="single"/>
              </w:rPr>
              <w:t xml:space="preserve">-культурного </w:t>
            </w:r>
            <w:proofErr w:type="spellStart"/>
            <w:r w:rsidRPr="0064174C">
              <w:rPr>
                <w:rFonts w:ascii="Cambria" w:hAnsi="Cambria"/>
                <w:b/>
                <w:u w:val="single"/>
              </w:rPr>
              <w:t>призначення</w:t>
            </w:r>
            <w:proofErr w:type="spellEnd"/>
            <w:r w:rsidRPr="0064174C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3335CA" w:rsidRDefault="009B0E3B" w:rsidP="00CF2C7A">
            <w:pPr>
              <w:jc w:val="center"/>
              <w:rPr>
                <w:rFonts w:ascii="Cambria" w:hAnsi="Cambria"/>
                <w:b/>
              </w:rPr>
            </w:pPr>
            <w:r w:rsidRPr="003335CA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335CA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335CA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9B0E3B" w:rsidRPr="00435B65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435B65">
              <w:rPr>
                <w:rFonts w:ascii="Cambria" w:hAnsi="Cambria"/>
                <w:b/>
              </w:rPr>
              <w:t>3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435B65">
              <w:rPr>
                <w:rFonts w:ascii="Cambria" w:hAnsi="Cambria"/>
                <w:b/>
              </w:rPr>
              <w:t>Житловий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фонд, </w:t>
            </w:r>
            <w:proofErr w:type="spellStart"/>
            <w:r w:rsidRPr="00435B65">
              <w:rPr>
                <w:rFonts w:ascii="Cambria" w:hAnsi="Cambria"/>
                <w:b/>
              </w:rPr>
              <w:t>всього</w:t>
            </w:r>
            <w:proofErr w:type="spellEnd"/>
            <w:r w:rsidRPr="00435B65">
              <w:rPr>
                <w:rFonts w:ascii="Cambria" w:hAnsi="Cambria"/>
              </w:rPr>
              <w:t xml:space="preserve">                       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435B65">
              <w:rPr>
                <w:rFonts w:ascii="Cambria" w:hAnsi="Cambria"/>
                <w:b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b/>
                <w:u w:val="single"/>
              </w:rPr>
              <w:t>.</w:t>
            </w:r>
            <w:proofErr w:type="gramEnd"/>
            <w:r w:rsidRPr="00435B65">
              <w:rPr>
                <w:rFonts w:ascii="Cambria" w:hAnsi="Cambria"/>
                <w:b/>
                <w:u w:val="single"/>
              </w:rPr>
              <w:t xml:space="preserve"> </w:t>
            </w:r>
            <w:proofErr w:type="gramStart"/>
            <w:r w:rsidRPr="00435B65">
              <w:rPr>
                <w:rFonts w:ascii="Cambria" w:hAnsi="Cambria"/>
                <w:b/>
                <w:u w:val="single"/>
              </w:rPr>
              <w:t>м</w:t>
            </w:r>
            <w:proofErr w:type="gramEnd"/>
            <w:r w:rsidRPr="00435B65">
              <w:rPr>
                <w:rFonts w:ascii="Cambria" w:hAnsi="Cambria"/>
                <w:b/>
                <w:u w:val="single"/>
                <w:vertAlign w:val="superscript"/>
              </w:rPr>
              <w:t>2</w:t>
            </w:r>
          </w:p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435B6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35B65">
              <w:rPr>
                <w:rFonts w:ascii="Cambria" w:hAnsi="Cambria"/>
                <w:b/>
              </w:rPr>
              <w:t>кількість</w:t>
            </w:r>
            <w:proofErr w:type="spellEnd"/>
          </w:p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435B65">
              <w:rPr>
                <w:rFonts w:ascii="Cambria" w:hAnsi="Cambria"/>
                <w:b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u w:val="single"/>
              </w:rPr>
              <w:t>202</w:t>
            </w:r>
            <w:r w:rsidRPr="00357112">
              <w:rPr>
                <w:rFonts w:ascii="Cambria" w:hAnsi="Cambria"/>
                <w:b/>
                <w:u w:val="single"/>
              </w:rPr>
              <w:t>,</w:t>
            </w:r>
            <w:r>
              <w:rPr>
                <w:rFonts w:ascii="Cambria" w:hAnsi="Cambria"/>
                <w:b/>
                <w:u w:val="single"/>
              </w:rPr>
              <w:t>158</w:t>
            </w:r>
          </w:p>
          <w:p w:rsidR="009B0E3B" w:rsidRPr="00623874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 w:rsidRPr="00357112">
              <w:rPr>
                <w:rFonts w:ascii="Cambria" w:hAnsi="Cambria"/>
                <w:b/>
              </w:rPr>
              <w:t>3387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u w:val="single"/>
              </w:rPr>
              <w:t>328,912</w:t>
            </w:r>
          </w:p>
          <w:p w:rsidR="009B0E3B" w:rsidRPr="00623874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 w:rsidRPr="00357112">
              <w:rPr>
                <w:rFonts w:ascii="Cambria" w:hAnsi="Cambria"/>
                <w:b/>
              </w:rPr>
              <w:t>53</w:t>
            </w:r>
            <w:r>
              <w:rPr>
                <w:rFonts w:ascii="Cambria" w:hAnsi="Cambria"/>
                <w:b/>
              </w:rPr>
              <w:t>29</w:t>
            </w:r>
          </w:p>
        </w:tc>
      </w:tr>
      <w:tr w:rsidR="009B0E3B" w:rsidRPr="00435B65" w:rsidTr="00CF2C7A">
        <w:trPr>
          <w:trHeight w:val="63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 xml:space="preserve">у </w:t>
            </w:r>
            <w:proofErr w:type="spellStart"/>
            <w:r w:rsidRPr="00435B65">
              <w:rPr>
                <w:rFonts w:ascii="Cambria" w:hAnsi="Cambria"/>
              </w:rPr>
              <w:t>т.ч</w:t>
            </w:r>
            <w:proofErr w:type="spellEnd"/>
            <w:r w:rsidRPr="00435B65">
              <w:rPr>
                <w:rFonts w:ascii="Cambria" w:hAnsi="Cambria"/>
              </w:rPr>
              <w:t xml:space="preserve">.: </w:t>
            </w:r>
            <w:proofErr w:type="spellStart"/>
            <w:r w:rsidRPr="00435B65">
              <w:rPr>
                <w:rFonts w:ascii="Cambria" w:hAnsi="Cambria"/>
              </w:rPr>
              <w:t>непридатний</w:t>
            </w:r>
            <w:proofErr w:type="spellEnd"/>
            <w:r w:rsidRPr="00435B65">
              <w:rPr>
                <w:rFonts w:ascii="Cambria" w:hAnsi="Cambria"/>
              </w:rPr>
              <w:t xml:space="preserve"> </w:t>
            </w:r>
            <w:proofErr w:type="spellStart"/>
            <w:r w:rsidRPr="00435B65">
              <w:rPr>
                <w:rFonts w:ascii="Cambria" w:hAnsi="Cambria"/>
              </w:rPr>
              <w:t>житловий</w:t>
            </w:r>
            <w:proofErr w:type="spellEnd"/>
            <w:r w:rsidRPr="00435B65">
              <w:rPr>
                <w:rFonts w:ascii="Cambria" w:hAnsi="Cambria"/>
              </w:rPr>
              <w:t xml:space="preserve"> фонд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  <w:u w:val="single"/>
              </w:rPr>
              <w:t>тис</w:t>
            </w:r>
            <w:proofErr w:type="gramStart"/>
            <w:r w:rsidRPr="00AF53EA">
              <w:rPr>
                <w:rFonts w:ascii="Cambria" w:hAnsi="Cambria"/>
                <w:u w:val="single"/>
              </w:rPr>
              <w:t>.</w:t>
            </w:r>
            <w:proofErr w:type="gramEnd"/>
            <w:r w:rsidRPr="00AF53EA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AF53EA">
              <w:rPr>
                <w:rFonts w:ascii="Cambria" w:hAnsi="Cambria"/>
                <w:u w:val="single"/>
              </w:rPr>
              <w:t>м</w:t>
            </w:r>
            <w:proofErr w:type="gramEnd"/>
            <w:r w:rsidRPr="00AF53EA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F53EA">
              <w:rPr>
                <w:rFonts w:ascii="Cambria" w:hAnsi="Cambria"/>
              </w:rPr>
              <w:t xml:space="preserve"> </w:t>
            </w:r>
            <w:proofErr w:type="spellStart"/>
            <w:r w:rsidRPr="00AF53EA">
              <w:rPr>
                <w:rFonts w:ascii="Cambria" w:hAnsi="Cambria"/>
              </w:rPr>
              <w:t>кількість</w:t>
            </w:r>
            <w:proofErr w:type="spellEnd"/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357112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23874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357112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3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  <w:b/>
              </w:rPr>
              <w:t>Розподіл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35B65">
              <w:rPr>
                <w:rFonts w:ascii="Cambria" w:hAnsi="Cambria"/>
                <w:b/>
              </w:rPr>
              <w:t>житлового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фонду за видами </w:t>
            </w:r>
            <w:proofErr w:type="spellStart"/>
            <w:r w:rsidRPr="00435B65">
              <w:rPr>
                <w:rFonts w:ascii="Cambria" w:hAnsi="Cambria"/>
                <w:b/>
              </w:rPr>
              <w:t>забудови</w:t>
            </w:r>
            <w:proofErr w:type="spellEnd"/>
            <w:r w:rsidRPr="00435B65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23874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  <w:u w:val="single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23874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  <w:u w:val="single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</w:rPr>
              <w:t>садибна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435B65">
              <w:rPr>
                <w:rFonts w:ascii="Cambria" w:hAnsi="Cambria"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u w:val="single"/>
              </w:rPr>
              <w:t>.м</w:t>
            </w:r>
            <w:proofErr w:type="gramEnd"/>
            <w:r w:rsidRPr="00435B65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357112">
              <w:rPr>
                <w:rFonts w:ascii="Cambria" w:hAnsi="Cambria"/>
                <w:u w:val="single"/>
              </w:rPr>
              <w:t>0,841</w:t>
            </w:r>
          </w:p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357112">
              <w:rPr>
                <w:rFonts w:ascii="Cambria" w:hAnsi="Cambria"/>
              </w:rPr>
              <w:t>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357112">
              <w:rPr>
                <w:rFonts w:ascii="Cambria" w:hAnsi="Cambria"/>
                <w:u w:val="single"/>
              </w:rPr>
              <w:t>1</w:t>
            </w:r>
            <w:r>
              <w:rPr>
                <w:rFonts w:ascii="Cambria" w:hAnsi="Cambria"/>
                <w:u w:val="single"/>
              </w:rPr>
              <w:t>3,801</w:t>
            </w:r>
          </w:p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35711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15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</w:rPr>
              <w:t>блокована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435B65">
              <w:rPr>
                <w:rFonts w:ascii="Cambria" w:hAnsi="Cambria"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u w:val="single"/>
              </w:rPr>
              <w:t>.м</w:t>
            </w:r>
            <w:proofErr w:type="gramEnd"/>
            <w:r w:rsidRPr="00435B65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435B6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D495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D495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D495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D495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9076BB">
              <w:rPr>
                <w:rFonts w:ascii="Cambria" w:hAnsi="Cambria"/>
              </w:rPr>
              <w:t>багатоквартирна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076BB">
              <w:rPr>
                <w:rFonts w:ascii="Cambria" w:hAnsi="Cambria"/>
                <w:u w:val="single"/>
              </w:rPr>
              <w:t>тис</w:t>
            </w:r>
            <w:proofErr w:type="gramStart"/>
            <w:r w:rsidRPr="009076BB">
              <w:rPr>
                <w:rFonts w:ascii="Cambria" w:hAnsi="Cambria"/>
                <w:u w:val="single"/>
              </w:rPr>
              <w:t>.м</w:t>
            </w:r>
            <w:proofErr w:type="gramEnd"/>
            <w:r w:rsidRPr="009076BB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9076BB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76BB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201,317</w:t>
            </w:r>
          </w:p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color w:val="000000"/>
              </w:rPr>
            </w:pPr>
            <w:r w:rsidRPr="00357112">
              <w:rPr>
                <w:rFonts w:ascii="Cambria" w:hAnsi="Cambria"/>
              </w:rPr>
              <w:t>3380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315,111</w:t>
            </w:r>
          </w:p>
          <w:p w:rsidR="009B0E3B" w:rsidRPr="00357112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357112">
              <w:rPr>
                <w:rFonts w:ascii="Cambria" w:hAnsi="Cambria"/>
              </w:rPr>
              <w:t>52</w:t>
            </w:r>
            <w:r>
              <w:rPr>
                <w:rFonts w:ascii="Cambria" w:hAnsi="Cambria"/>
              </w:rPr>
              <w:t>14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076BB">
              <w:rPr>
                <w:rFonts w:ascii="Cambria" w:hAnsi="Cambria"/>
                <w:b/>
              </w:rPr>
              <w:t>Середня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житлова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забезпеченість</w:t>
            </w:r>
            <w:proofErr w:type="spellEnd"/>
          </w:p>
          <w:p w:rsidR="009B0E3B" w:rsidRPr="009076BB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9076BB">
              <w:rPr>
                <w:rFonts w:ascii="Cambria" w:hAnsi="Cambria"/>
                <w:b/>
              </w:rPr>
              <w:lastRenderedPageBreak/>
              <w:t>населення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загальною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площею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076BB">
              <w:rPr>
                <w:rFonts w:ascii="Cambria" w:hAnsi="Cambria"/>
                <w:b/>
              </w:rPr>
              <w:lastRenderedPageBreak/>
              <w:t>м</w:t>
            </w:r>
            <w:proofErr w:type="gramStart"/>
            <w:r w:rsidRPr="009076BB">
              <w:rPr>
                <w:rFonts w:ascii="Cambria" w:hAnsi="Cambria"/>
                <w:b/>
                <w:vertAlign w:val="superscript"/>
              </w:rPr>
              <w:t>2</w:t>
            </w:r>
            <w:proofErr w:type="gramEnd"/>
            <w:r w:rsidRPr="009076BB">
              <w:rPr>
                <w:rFonts w:ascii="Cambria" w:hAnsi="Cambria"/>
                <w:b/>
              </w:rPr>
              <w:t>/</w:t>
            </w:r>
            <w:proofErr w:type="spellStart"/>
            <w:r w:rsidRPr="009076BB">
              <w:rPr>
                <w:rFonts w:ascii="Cambria" w:hAnsi="Cambria"/>
                <w:b/>
              </w:rPr>
              <w:t>чол</w:t>
            </w:r>
            <w:proofErr w:type="spellEnd"/>
            <w:r w:rsidRPr="009076BB">
              <w:rPr>
                <w:rFonts w:ascii="Cambria" w:hAnsi="Cambria"/>
                <w:b/>
              </w:rPr>
              <w:t>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21,8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76BB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26,2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proofErr w:type="gramStart"/>
            <w:r w:rsidRPr="000D47C8">
              <w:rPr>
                <w:rFonts w:ascii="Cambria" w:hAnsi="Cambria"/>
                <w:b/>
              </w:rPr>
              <w:t>Щ</w:t>
            </w:r>
            <w:proofErr w:type="gramEnd"/>
            <w:r w:rsidRPr="000D47C8">
              <w:rPr>
                <w:rFonts w:ascii="Cambria" w:hAnsi="Cambria"/>
                <w:b/>
              </w:rPr>
              <w:t>ільність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населення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чол</w:t>
            </w:r>
            <w:proofErr w:type="spellEnd"/>
            <w:r w:rsidRPr="000D47C8">
              <w:rPr>
                <w:rFonts w:ascii="Cambria" w:hAnsi="Cambria"/>
                <w:b/>
              </w:rPr>
              <w:t>./га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174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233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Вибуття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житлового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фонду, </w:t>
            </w:r>
            <w:proofErr w:type="spellStart"/>
            <w:r w:rsidRPr="000D47C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  <w:vertAlign w:val="superscript"/>
              </w:rPr>
            </w:pPr>
            <w:r w:rsidRPr="000D47C8">
              <w:rPr>
                <w:rFonts w:ascii="Cambria" w:hAnsi="Cambria"/>
                <w:b/>
              </w:rPr>
              <w:t>тис</w:t>
            </w:r>
            <w:proofErr w:type="gramStart"/>
            <w:r w:rsidRPr="000D47C8">
              <w:rPr>
                <w:rFonts w:ascii="Cambria" w:hAnsi="Cambria"/>
                <w:b/>
              </w:rPr>
              <w:t>.м</w:t>
            </w:r>
            <w:proofErr w:type="gramEnd"/>
            <w:r w:rsidRPr="000D47C8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A5EA0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непридатного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A5EA0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придатного</w:t>
            </w:r>
            <w:proofErr w:type="spellEnd"/>
            <w:r w:rsidRPr="000D47C8">
              <w:rPr>
                <w:rFonts w:ascii="Cambria" w:hAnsi="Cambria"/>
              </w:rPr>
              <w:t xml:space="preserve"> у </w:t>
            </w:r>
            <w:proofErr w:type="spellStart"/>
            <w:r w:rsidRPr="000D47C8">
              <w:rPr>
                <w:rFonts w:ascii="Cambria" w:hAnsi="Cambria"/>
              </w:rPr>
              <w:t>зв’язку</w:t>
            </w:r>
            <w:proofErr w:type="spellEnd"/>
            <w:r w:rsidRPr="000D47C8">
              <w:rPr>
                <w:rFonts w:ascii="Cambria" w:hAnsi="Cambria"/>
              </w:rPr>
              <w:t xml:space="preserve"> з </w:t>
            </w:r>
            <w:proofErr w:type="spellStart"/>
            <w:r w:rsidRPr="000D47C8">
              <w:rPr>
                <w:rFonts w:ascii="Cambria" w:hAnsi="Cambria"/>
              </w:rPr>
              <w:t>реконструкцією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A5EA0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7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придатного</w:t>
            </w:r>
            <w:proofErr w:type="spellEnd"/>
            <w:r w:rsidRPr="000D47C8">
              <w:rPr>
                <w:rFonts w:ascii="Cambria" w:hAnsi="Cambria"/>
              </w:rPr>
              <w:t xml:space="preserve"> у </w:t>
            </w:r>
            <w:proofErr w:type="spellStart"/>
            <w:r w:rsidRPr="000D47C8">
              <w:rPr>
                <w:rFonts w:ascii="Cambria" w:hAnsi="Cambria"/>
              </w:rPr>
              <w:t>зв’язку</w:t>
            </w:r>
            <w:proofErr w:type="spellEnd"/>
            <w:r w:rsidRPr="000D47C8">
              <w:rPr>
                <w:rFonts w:ascii="Cambria" w:hAnsi="Cambria"/>
              </w:rPr>
              <w:t xml:space="preserve"> з </w:t>
            </w:r>
            <w:proofErr w:type="spellStart"/>
            <w:r w:rsidRPr="000D47C8">
              <w:rPr>
                <w:rFonts w:ascii="Cambria" w:hAnsi="Cambria"/>
              </w:rPr>
              <w:t>виносом</w:t>
            </w:r>
            <w:proofErr w:type="spellEnd"/>
            <w:r w:rsidRPr="000D47C8">
              <w:rPr>
                <w:rFonts w:ascii="Cambria" w:hAnsi="Cambria"/>
              </w:rPr>
              <w:t xml:space="preserve"> за </w:t>
            </w:r>
            <w:proofErr w:type="spellStart"/>
            <w:r w:rsidRPr="000D47C8">
              <w:rPr>
                <w:rFonts w:ascii="Cambria" w:hAnsi="Cambria"/>
              </w:rPr>
              <w:t>межі</w:t>
            </w:r>
            <w:proofErr w:type="spellEnd"/>
            <w:r w:rsidRPr="000D47C8">
              <w:rPr>
                <w:rFonts w:ascii="Cambria" w:hAnsi="Cambria"/>
              </w:rPr>
              <w:t xml:space="preserve"> </w:t>
            </w:r>
          </w:p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санітарно-захисних</w:t>
            </w:r>
            <w:proofErr w:type="spellEnd"/>
            <w:r w:rsidRPr="000D47C8">
              <w:rPr>
                <w:rFonts w:ascii="Cambria" w:hAnsi="Cambria"/>
              </w:rPr>
              <w:t xml:space="preserve"> зон (</w:t>
            </w:r>
            <w:proofErr w:type="spellStart"/>
            <w:r w:rsidRPr="000D47C8">
              <w:rPr>
                <w:rFonts w:ascii="Cambria" w:hAnsi="Cambria"/>
              </w:rPr>
              <w:t>відселення</w:t>
            </w:r>
            <w:proofErr w:type="spellEnd"/>
            <w:r w:rsidRPr="000D47C8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4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Нове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житлове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будівництво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0D47C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0D47C8">
              <w:rPr>
                <w:rFonts w:ascii="Cambria" w:hAnsi="Cambria"/>
                <w:b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b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b/>
                <w:u w:val="single"/>
                <w:vertAlign w:val="superscript"/>
              </w:rPr>
              <w:t>2</w:t>
            </w:r>
          </w:p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126,754</w:t>
            </w:r>
          </w:p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1942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одноквартирне</w:t>
            </w:r>
            <w:proofErr w:type="spellEnd"/>
            <w:r w:rsidRPr="000D47C8">
              <w:rPr>
                <w:rFonts w:ascii="Cambria" w:hAnsi="Cambria"/>
              </w:rPr>
              <w:t xml:space="preserve"> </w:t>
            </w:r>
            <w:proofErr w:type="spellStart"/>
            <w:r w:rsidRPr="000D47C8">
              <w:rPr>
                <w:rFonts w:ascii="Cambria" w:hAnsi="Cambria"/>
              </w:rPr>
              <w:t>садибне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0D47C8" w:rsidRDefault="009B0E3B" w:rsidP="00CF2C7A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12,96</w:t>
            </w:r>
          </w:p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блоковане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6661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661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багатоквартирне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9B0E3B" w:rsidRPr="000D47C8" w:rsidRDefault="009B0E3B" w:rsidP="00CF2C7A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113,794</w:t>
            </w:r>
          </w:p>
          <w:p w:rsidR="009B0E3B" w:rsidRPr="000D47C8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1834</w:t>
            </w:r>
          </w:p>
        </w:tc>
      </w:tr>
      <w:tr w:rsidR="009B0E3B" w:rsidRPr="00E445CC" w:rsidTr="00CF2C7A">
        <w:trPr>
          <w:trHeight w:val="5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  <w:b/>
              </w:rPr>
              <w:t>5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Об’єкти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громадського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обслуговування</w:t>
            </w:r>
            <w:proofErr w:type="spellEnd"/>
            <w:r w:rsidRPr="009E4009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</w:tr>
      <w:bookmarkEnd w:id="1"/>
      <w:bookmarkEnd w:id="2"/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дитячі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дошкільні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заклади</w:t>
            </w:r>
            <w:proofErr w:type="spellEnd"/>
            <w:r w:rsidRPr="009E4009">
              <w:rPr>
                <w:rFonts w:ascii="Cambria" w:hAnsi="Cambria"/>
              </w:rPr>
              <w:t xml:space="preserve">, </w:t>
            </w:r>
            <w:proofErr w:type="spellStart"/>
            <w:r w:rsidRPr="009E4009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 xml:space="preserve">тис. </w:t>
            </w:r>
          </w:p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9E4009">
              <w:rPr>
                <w:rFonts w:ascii="Cambria" w:hAnsi="Cambria"/>
              </w:rPr>
              <w:t>м</w:t>
            </w:r>
            <w:proofErr w:type="gramEnd"/>
            <w:r w:rsidRPr="009E4009">
              <w:rPr>
                <w:rFonts w:ascii="Cambria" w:hAnsi="Cambria"/>
              </w:rPr>
              <w:t>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0,135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0,595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загальноосвітні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школи</w:t>
            </w:r>
            <w:proofErr w:type="spellEnd"/>
            <w:r w:rsidRPr="009E4009">
              <w:rPr>
                <w:rFonts w:ascii="Cambria" w:hAnsi="Cambria"/>
              </w:rPr>
              <w:t xml:space="preserve">, </w:t>
            </w:r>
            <w:proofErr w:type="spellStart"/>
            <w:r w:rsidRPr="009E4009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 xml:space="preserve">тис. </w:t>
            </w:r>
          </w:p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9E4009">
              <w:rPr>
                <w:rFonts w:ascii="Cambria" w:hAnsi="Cambria"/>
              </w:rPr>
              <w:t>м</w:t>
            </w:r>
            <w:proofErr w:type="gramEnd"/>
            <w:r w:rsidRPr="009E4009">
              <w:rPr>
                <w:rFonts w:ascii="Cambria" w:hAnsi="Cambria"/>
              </w:rPr>
              <w:t>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0,480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1,920</w:t>
            </w:r>
          </w:p>
        </w:tc>
      </w:tr>
      <w:tr w:rsidR="009B0E3B" w:rsidRPr="00E445CC" w:rsidTr="00CF2C7A">
        <w:trPr>
          <w:trHeight w:val="44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заклади</w:t>
            </w:r>
            <w:proofErr w:type="spellEnd"/>
            <w:r w:rsidRPr="00AF53EA">
              <w:rPr>
                <w:rFonts w:ascii="Cambria" w:hAnsi="Cambria"/>
              </w:rPr>
              <w:t xml:space="preserve"> </w:t>
            </w:r>
            <w:proofErr w:type="spellStart"/>
            <w:r w:rsidRPr="00AF53EA">
              <w:rPr>
                <w:rFonts w:ascii="Cambria" w:hAnsi="Cambria"/>
              </w:rPr>
              <w:t>охорони</w:t>
            </w:r>
            <w:proofErr w:type="spellEnd"/>
            <w:r w:rsidRPr="00AF53EA">
              <w:rPr>
                <w:rFonts w:ascii="Cambria" w:hAnsi="Cambria"/>
              </w:rPr>
              <w:t xml:space="preserve"> здоров</w:t>
            </w:r>
            <w:r w:rsidRPr="00AF53EA">
              <w:rPr>
                <w:rFonts w:ascii="Cambria" w:hAnsi="Cambria"/>
                <w:lang w:val="en-US"/>
              </w:rPr>
              <w:t>’</w:t>
            </w:r>
            <w:r w:rsidRPr="00AF53EA">
              <w:rPr>
                <w:rFonts w:ascii="Cambria" w:hAnsi="Cambria"/>
              </w:rPr>
              <w:t>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виїздів</w:t>
            </w:r>
            <w:proofErr w:type="spellEnd"/>
            <w:r w:rsidRPr="00AF53EA">
              <w:rPr>
                <w:rFonts w:ascii="Cambria" w:hAnsi="Cambria"/>
              </w:rPr>
              <w:t xml:space="preserve"> </w:t>
            </w:r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F53EA">
              <w:rPr>
                <w:rFonts w:ascii="Cambria" w:hAnsi="Cambria"/>
              </w:rPr>
              <w:t xml:space="preserve">у </w:t>
            </w:r>
            <w:proofErr w:type="spellStart"/>
            <w:proofErr w:type="gramStart"/>
            <w:r w:rsidRPr="00AF53EA">
              <w:rPr>
                <w:rFonts w:ascii="Cambria" w:hAnsi="Cambria"/>
              </w:rPr>
              <w:t>р</w:t>
            </w:r>
            <w:proofErr w:type="gramEnd"/>
            <w:r w:rsidRPr="00AF53EA">
              <w:rPr>
                <w:rFonts w:ascii="Cambria" w:hAnsi="Cambria"/>
              </w:rPr>
              <w:t>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0523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E05232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C011E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50 216</w:t>
            </w:r>
          </w:p>
        </w:tc>
      </w:tr>
      <w:tr w:rsidR="009B0E3B" w:rsidRPr="00E445CC" w:rsidTr="00CF2C7A">
        <w:trPr>
          <w:trHeight w:val="50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пожежні</w:t>
            </w:r>
            <w:proofErr w:type="spellEnd"/>
            <w:r w:rsidRPr="00AF53EA">
              <w:rPr>
                <w:rFonts w:ascii="Cambria" w:hAnsi="Cambria"/>
              </w:rPr>
              <w:t xml:space="preserve"> депо</w:t>
            </w:r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пожежно-рятувальна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частина</w:t>
            </w:r>
            <w:proofErr w:type="spellEnd"/>
            <w:r>
              <w:rPr>
                <w:rFonts w:ascii="Cambria" w:hAnsi="Cambria"/>
              </w:rPr>
              <w:t>)</w:t>
            </w:r>
            <w:r w:rsidRPr="00AF53EA">
              <w:rPr>
                <w:rFonts w:ascii="Cambria" w:hAnsi="Cambria"/>
              </w:rPr>
              <w:t xml:space="preserve">, </w:t>
            </w:r>
            <w:proofErr w:type="spellStart"/>
            <w:r w:rsidRPr="00AF53EA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AF53EA">
              <w:rPr>
                <w:rFonts w:ascii="Cambria" w:hAnsi="Cambria"/>
                <w:u w:val="single"/>
              </w:rPr>
              <w:t>об’єкт</w:t>
            </w:r>
            <w:proofErr w:type="spellEnd"/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пожежних</w:t>
            </w:r>
            <w:proofErr w:type="spellEnd"/>
            <w:r w:rsidRPr="00AF53EA">
              <w:rPr>
                <w:rFonts w:ascii="Cambria" w:hAnsi="Cambria"/>
              </w:rPr>
              <w:t xml:space="preserve"> </w:t>
            </w:r>
            <w:proofErr w:type="spellStart"/>
            <w:r w:rsidRPr="00AF53EA">
              <w:rPr>
                <w:rFonts w:ascii="Cambria" w:hAnsi="Cambria"/>
              </w:rPr>
              <w:t>автомобілів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  <w:u w:val="single"/>
              </w:rPr>
              <w:t>1</w:t>
            </w:r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F53EA">
              <w:rPr>
                <w:rFonts w:ascii="Cambria" w:hAnsi="Cambria"/>
              </w:rPr>
              <w:t>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  <w:u w:val="single"/>
              </w:rPr>
              <w:t>1</w:t>
            </w:r>
          </w:p>
          <w:p w:rsidR="009B0E3B" w:rsidRPr="00AF53EA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F53EA">
              <w:rPr>
                <w:rFonts w:ascii="Cambria" w:hAnsi="Cambria"/>
              </w:rPr>
              <w:t>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9E4009">
              <w:rPr>
                <w:rFonts w:ascii="Cambria" w:hAnsi="Cambria"/>
                <w:b/>
              </w:rPr>
              <w:t>6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Вулично-дорожня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мережа та транспорт </w:t>
            </w:r>
          </w:p>
          <w:p w:rsidR="009B0E3B" w:rsidRPr="00E80C65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ДПТ </w:t>
            </w:r>
            <w:proofErr w:type="spellStart"/>
            <w:r>
              <w:rPr>
                <w:rFonts w:ascii="Cambria" w:hAnsi="Cambria"/>
                <w:b/>
              </w:rPr>
              <w:t>мікрорайону</w:t>
            </w:r>
            <w:proofErr w:type="spellEnd"/>
            <w:r>
              <w:rPr>
                <w:rFonts w:ascii="Cambria" w:hAnsi="Cambria"/>
                <w:b/>
              </w:rPr>
              <w:t xml:space="preserve"> «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П</w:t>
            </w:r>
            <w:proofErr w:type="gramEnd"/>
            <w:r>
              <w:rPr>
                <w:rFonts w:ascii="Cambria" w:hAnsi="Cambria"/>
                <w:b/>
              </w:rPr>
              <w:t>івнічний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Довжина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D37A09">
              <w:rPr>
                <w:rFonts w:ascii="Cambria" w:hAnsi="Cambria"/>
                <w:b/>
              </w:rPr>
              <w:t>вулиць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і </w:t>
            </w:r>
            <w:proofErr w:type="spellStart"/>
            <w:r w:rsidRPr="00D37A09">
              <w:rPr>
                <w:rFonts w:ascii="Cambria" w:hAnsi="Cambria"/>
                <w:b/>
              </w:rPr>
              <w:t>доріг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, </w:t>
            </w:r>
            <w:proofErr w:type="spellStart"/>
            <w:r w:rsidRPr="00D37A09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D37A09">
              <w:rPr>
                <w:rFonts w:ascii="Cambria" w:hAnsi="Cambria"/>
                <w:b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5,78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8,61</w:t>
            </w:r>
          </w:p>
        </w:tc>
      </w:tr>
      <w:tr w:rsidR="009B0E3B" w:rsidRPr="00E445CC" w:rsidTr="00CF2C7A">
        <w:trPr>
          <w:trHeight w:val="40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Довжина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D37A09">
              <w:rPr>
                <w:rFonts w:ascii="Cambria" w:hAnsi="Cambria"/>
                <w:b/>
              </w:rPr>
              <w:t>подвійного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шляху </w:t>
            </w:r>
            <w:proofErr w:type="spellStart"/>
            <w:proofErr w:type="gramStart"/>
            <w:r w:rsidRPr="00D37A09">
              <w:rPr>
                <w:rFonts w:ascii="Cambria" w:hAnsi="Cambria"/>
                <w:b/>
              </w:rPr>
              <w:t>л</w:t>
            </w:r>
            <w:proofErr w:type="gramEnd"/>
            <w:r w:rsidRPr="00D37A09">
              <w:rPr>
                <w:rFonts w:ascii="Cambria" w:hAnsi="Cambria"/>
                <w:b/>
              </w:rPr>
              <w:t>іній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мі</w:t>
            </w:r>
            <w:r w:rsidRPr="00D37A09">
              <w:rPr>
                <w:rFonts w:ascii="Cambria" w:hAnsi="Cambria"/>
                <w:b/>
              </w:rPr>
              <w:t>ського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</w:p>
          <w:p w:rsidR="009B0E3B" w:rsidRPr="00D37A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пасажирського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транспорту, </w:t>
            </w:r>
            <w:proofErr w:type="spellStart"/>
            <w:r w:rsidRPr="00D37A09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D37A09">
              <w:rPr>
                <w:rFonts w:ascii="Cambria" w:hAnsi="Cambria"/>
                <w:b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D37A09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,94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6,38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r w:rsidRPr="00D37A09">
              <w:rPr>
                <w:rFonts w:ascii="Cambria" w:hAnsi="Cambria"/>
              </w:rPr>
              <w:t>автобуса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D37A09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1,94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D37A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6,38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D7560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proofErr w:type="gramStart"/>
            <w:r w:rsidRPr="00CD7560">
              <w:rPr>
                <w:rFonts w:ascii="Cambria" w:hAnsi="Cambria"/>
                <w:b/>
              </w:rPr>
              <w:t>Щ</w:t>
            </w:r>
            <w:proofErr w:type="gramEnd"/>
            <w:r w:rsidRPr="00CD7560">
              <w:rPr>
                <w:rFonts w:ascii="Cambria" w:hAnsi="Cambria"/>
                <w:b/>
              </w:rPr>
              <w:t>ільність</w:t>
            </w:r>
            <w:proofErr w:type="spellEnd"/>
            <w:r w:rsidRPr="00CD7560">
              <w:rPr>
                <w:rFonts w:ascii="Cambria" w:hAnsi="Cambria"/>
                <w:b/>
              </w:rPr>
              <w:t xml:space="preserve"> </w:t>
            </w:r>
            <w:proofErr w:type="spellStart"/>
            <w:r w:rsidRPr="00CD7560">
              <w:rPr>
                <w:rFonts w:ascii="Cambria" w:hAnsi="Cambria"/>
                <w:b/>
              </w:rPr>
              <w:t>мережі</w:t>
            </w:r>
            <w:proofErr w:type="spellEnd"/>
            <w:r w:rsidRPr="00CD7560">
              <w:rPr>
                <w:rFonts w:ascii="Cambria" w:hAnsi="Cambria"/>
                <w:b/>
              </w:rPr>
              <w:t xml:space="preserve"> наземного </w:t>
            </w:r>
            <w:proofErr w:type="spellStart"/>
            <w:r w:rsidRPr="00CD7560">
              <w:rPr>
                <w:rFonts w:ascii="Cambria" w:hAnsi="Cambria"/>
                <w:b/>
              </w:rPr>
              <w:t>пасажирського</w:t>
            </w:r>
            <w:proofErr w:type="spellEnd"/>
            <w:r w:rsidRPr="00CD7560">
              <w:rPr>
                <w:rFonts w:ascii="Cambria" w:hAnsi="Cambria"/>
                <w:b/>
              </w:rPr>
              <w:t xml:space="preserve"> </w:t>
            </w:r>
          </w:p>
          <w:p w:rsidR="009B0E3B" w:rsidRPr="00CD7560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r w:rsidRPr="00CD7560">
              <w:rPr>
                <w:rFonts w:ascii="Cambria" w:hAnsi="Cambria"/>
                <w:b/>
              </w:rPr>
              <w:t>транспорту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D7560" w:rsidRDefault="009B0E3B" w:rsidP="00CF2C7A">
            <w:pPr>
              <w:widowControl w:val="0"/>
              <w:jc w:val="center"/>
              <w:rPr>
                <w:rFonts w:ascii="Cambria" w:hAnsi="Cambria"/>
                <w:b/>
                <w:vertAlign w:val="superscript"/>
              </w:rPr>
            </w:pPr>
            <w:r w:rsidRPr="00CD7560">
              <w:rPr>
                <w:rFonts w:ascii="Cambria" w:hAnsi="Cambria"/>
                <w:b/>
              </w:rPr>
              <w:t>км/км</w:t>
            </w:r>
            <w:proofErr w:type="gramStart"/>
            <w:r w:rsidRPr="00CD7560">
              <w:rPr>
                <w:rFonts w:ascii="Cambria" w:hAnsi="Cambria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D7560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CD7560">
              <w:rPr>
                <w:rFonts w:ascii="Cambria" w:hAnsi="Cambria"/>
                <w:b/>
              </w:rPr>
              <w:t>,9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CD7560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CD7560">
              <w:rPr>
                <w:rFonts w:ascii="Cambria" w:hAnsi="Cambria"/>
                <w:b/>
              </w:rPr>
              <w:t>,</w:t>
            </w:r>
            <w:r>
              <w:rPr>
                <w:rFonts w:ascii="Cambria" w:hAnsi="Cambria"/>
                <w:b/>
              </w:rPr>
              <w:t>3</w:t>
            </w:r>
          </w:p>
        </w:tc>
      </w:tr>
      <w:tr w:rsidR="009B0E3B" w:rsidRPr="00E445CC" w:rsidTr="00CF2C7A">
        <w:trPr>
          <w:trHeight w:val="66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Загальний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9E4009">
              <w:rPr>
                <w:rFonts w:ascii="Cambria" w:hAnsi="Cambria"/>
                <w:b/>
              </w:rPr>
              <w:t>р</w:t>
            </w:r>
            <w:proofErr w:type="gramEnd"/>
            <w:r w:rsidRPr="009E4009">
              <w:rPr>
                <w:rFonts w:ascii="Cambria" w:hAnsi="Cambria"/>
                <w:b/>
              </w:rPr>
              <w:t>івень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автомобілізації</w:t>
            </w:r>
            <w:proofErr w:type="spellEnd"/>
          </w:p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 xml:space="preserve">машин </w:t>
            </w:r>
          </w:p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 xml:space="preserve">на </w:t>
            </w:r>
          </w:p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 xml:space="preserve">1 тис. </w:t>
            </w:r>
          </w:p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населення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D01F86">
              <w:rPr>
                <w:rFonts w:ascii="Cambria" w:hAnsi="Cambria"/>
              </w:rPr>
              <w:t>113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D01F86">
              <w:rPr>
                <w:rFonts w:ascii="Cambria" w:hAnsi="Cambria"/>
              </w:rPr>
              <w:t>116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Кількість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місць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постійного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зберігання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автомобілі</w:t>
            </w:r>
            <w:proofErr w:type="gramStart"/>
            <w:r w:rsidRPr="009E4009">
              <w:rPr>
                <w:rFonts w:ascii="Cambria" w:hAnsi="Cambria"/>
                <w:b/>
              </w:rPr>
              <w:t>в</w:t>
            </w:r>
            <w:proofErr w:type="spellEnd"/>
            <w:proofErr w:type="gramEnd"/>
            <w:r w:rsidRPr="009E4009">
              <w:rPr>
                <w:rFonts w:ascii="Cambria" w:hAnsi="Cambria"/>
                <w:b/>
              </w:rPr>
              <w:t xml:space="preserve"> (</w:t>
            </w:r>
            <w:proofErr w:type="gramStart"/>
            <w:r w:rsidRPr="009E4009">
              <w:rPr>
                <w:rFonts w:ascii="Cambria" w:hAnsi="Cambria"/>
                <w:b/>
              </w:rPr>
              <w:t>за</w:t>
            </w:r>
            <w:proofErr w:type="gramEnd"/>
            <w:r w:rsidRPr="009E4009">
              <w:rPr>
                <w:rFonts w:ascii="Cambria" w:hAnsi="Cambria"/>
                <w:b/>
              </w:rPr>
              <w:t xml:space="preserve"> складом парку та видами </w:t>
            </w:r>
            <w:proofErr w:type="spellStart"/>
            <w:r w:rsidRPr="009E4009">
              <w:rPr>
                <w:rFonts w:ascii="Cambria" w:hAnsi="Cambria"/>
                <w:b/>
              </w:rPr>
              <w:t>зберігання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– </w:t>
            </w:r>
            <w:proofErr w:type="spellStart"/>
            <w:r w:rsidRPr="009E4009">
              <w:rPr>
                <w:rFonts w:ascii="Cambria" w:hAnsi="Cambria"/>
                <w:b/>
              </w:rPr>
              <w:t>гаражі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4009">
              <w:rPr>
                <w:rFonts w:ascii="Cambria" w:hAnsi="Cambria"/>
                <w:b/>
              </w:rPr>
              <w:t>відкриті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автостоянки)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машино-місць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EA1D62">
              <w:rPr>
                <w:rFonts w:ascii="Cambria" w:hAnsi="Cambria"/>
              </w:rPr>
              <w:t>1045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4D1076">
              <w:rPr>
                <w:rFonts w:ascii="Cambria" w:hAnsi="Cambria"/>
              </w:rPr>
              <w:t>14</w:t>
            </w:r>
            <w:r>
              <w:rPr>
                <w:rFonts w:ascii="Cambria" w:hAnsi="Cambria"/>
              </w:rPr>
              <w:t>39</w:t>
            </w:r>
          </w:p>
        </w:tc>
      </w:tr>
      <w:tr w:rsidR="009B0E3B" w:rsidRPr="00E445CC" w:rsidTr="00CF2C7A">
        <w:trPr>
          <w:trHeight w:val="4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9E4009">
              <w:rPr>
                <w:rFonts w:ascii="Cambria" w:hAnsi="Cambria"/>
                <w:b/>
              </w:rPr>
              <w:t>7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Інженерне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забезпечення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</w:tr>
      <w:tr w:rsidR="009B0E3B" w:rsidRPr="00E445CC" w:rsidTr="00CF2C7A">
        <w:trPr>
          <w:trHeight w:val="40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E4009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Водопостачання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Сумарний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відпуск</w:t>
            </w:r>
            <w:proofErr w:type="spellEnd"/>
            <w:r w:rsidRPr="00164DCD">
              <w:rPr>
                <w:rFonts w:ascii="Cambria" w:hAnsi="Cambria"/>
              </w:rPr>
              <w:t xml:space="preserve"> води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2,505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4,133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господарсько-питні</w:t>
            </w:r>
            <w:proofErr w:type="spellEnd"/>
            <w:r w:rsidRPr="00164DCD">
              <w:rPr>
                <w:rFonts w:ascii="Cambria" w:hAnsi="Cambria"/>
              </w:rPr>
              <w:t xml:space="preserve"> потреби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2,505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4,133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Потужність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головних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</w:t>
            </w:r>
            <w:proofErr w:type="spellEnd"/>
            <w:r w:rsidRPr="00164DCD">
              <w:rPr>
                <w:rFonts w:ascii="Cambria" w:hAnsi="Cambria"/>
              </w:rPr>
              <w:t xml:space="preserve"> водопроводу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2,505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4,133</w:t>
            </w:r>
          </w:p>
        </w:tc>
      </w:tr>
      <w:tr w:rsidR="009B0E3B" w:rsidRPr="00E445CC" w:rsidTr="00CF2C7A">
        <w:trPr>
          <w:trHeight w:val="31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Каналізація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Загальн</w:t>
            </w:r>
            <w:r>
              <w:rPr>
                <w:rFonts w:ascii="Cambria" w:hAnsi="Cambria"/>
              </w:rPr>
              <w:t>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об’єм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господарсько-побутов</w:t>
            </w:r>
            <w:r>
              <w:rPr>
                <w:rFonts w:ascii="Cambria" w:hAnsi="Cambria"/>
              </w:rPr>
              <w:t>их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ст</w:t>
            </w:r>
            <w:proofErr w:type="gramEnd"/>
            <w:r w:rsidRPr="00164DCD">
              <w:rPr>
                <w:rFonts w:ascii="Cambria" w:hAnsi="Cambria"/>
              </w:rPr>
              <w:t>ічних</w:t>
            </w:r>
            <w:proofErr w:type="spellEnd"/>
            <w:r w:rsidRPr="00164DCD">
              <w:rPr>
                <w:rFonts w:ascii="Cambria" w:hAnsi="Cambria"/>
              </w:rPr>
              <w:t xml:space="preserve"> вод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771B5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4771B5">
              <w:rPr>
                <w:rFonts w:ascii="Cambria" w:hAnsi="Cambria"/>
              </w:rPr>
              <w:t>1,035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D2247" w:rsidRDefault="009B0E3B" w:rsidP="00CF2C7A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D01F86">
              <w:rPr>
                <w:rFonts w:ascii="Cambria" w:hAnsi="Cambria"/>
              </w:rPr>
              <w:t>4,133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Надходження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господарсько-побутов</w:t>
            </w:r>
            <w:r>
              <w:rPr>
                <w:rFonts w:ascii="Cambria" w:hAnsi="Cambria"/>
              </w:rPr>
              <w:t>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</w:rPr>
              <w:t>ст</w:t>
            </w:r>
            <w:proofErr w:type="gramEnd"/>
            <w:r>
              <w:rPr>
                <w:rFonts w:ascii="Cambria" w:hAnsi="Cambria"/>
              </w:rPr>
              <w:t>ічних</w:t>
            </w:r>
            <w:proofErr w:type="spellEnd"/>
            <w:r>
              <w:rPr>
                <w:rFonts w:ascii="Cambria" w:hAnsi="Cambria"/>
              </w:rPr>
              <w:t xml:space="preserve"> вод </w:t>
            </w:r>
            <w:proofErr w:type="spellStart"/>
            <w:r>
              <w:rPr>
                <w:rFonts w:ascii="Cambria" w:hAnsi="Cambria"/>
              </w:rPr>
              <w:t>від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проєктної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забудови</w:t>
            </w:r>
            <w:proofErr w:type="spellEnd"/>
            <w:r>
              <w:rPr>
                <w:rFonts w:ascii="Cambria" w:hAnsi="Cambria"/>
              </w:rPr>
              <w:t xml:space="preserve"> на </w:t>
            </w:r>
            <w:proofErr w:type="spellStart"/>
            <w:r>
              <w:rPr>
                <w:rFonts w:ascii="Cambria" w:hAnsi="Cambria"/>
              </w:rPr>
              <w:t>проєктні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очисні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споруди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049B1">
              <w:rPr>
                <w:rFonts w:ascii="Cambria" w:hAnsi="Cambria"/>
                <w:u w:val="single"/>
              </w:rPr>
              <w:t>тис</w:t>
            </w:r>
            <w:proofErr w:type="gramStart"/>
            <w:r w:rsidRPr="009049B1">
              <w:rPr>
                <w:rFonts w:ascii="Cambria" w:hAnsi="Cambria"/>
                <w:u w:val="single"/>
              </w:rPr>
              <w:t>.</w:t>
            </w:r>
            <w:proofErr w:type="gramEnd"/>
            <w:r w:rsidRPr="009049B1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9049B1">
              <w:rPr>
                <w:rFonts w:ascii="Cambria" w:hAnsi="Cambria"/>
                <w:u w:val="single"/>
              </w:rPr>
              <w:t>м</w:t>
            </w:r>
            <w:proofErr w:type="gramEnd"/>
            <w:r w:rsidRPr="009049B1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9049B1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0,173</w:t>
            </w:r>
          </w:p>
        </w:tc>
      </w:tr>
      <w:tr w:rsidR="009B0E3B" w:rsidRPr="00E445CC" w:rsidTr="00CF2C7A">
        <w:trPr>
          <w:trHeight w:val="45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C7BB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highlight w:val="green"/>
              </w:rPr>
            </w:pPr>
            <w:proofErr w:type="spellStart"/>
            <w:r>
              <w:rPr>
                <w:rFonts w:ascii="Cambria" w:hAnsi="Cambria"/>
              </w:rPr>
              <w:t>Надходження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господарсько-побутов</w:t>
            </w:r>
            <w:r>
              <w:rPr>
                <w:rFonts w:ascii="Cambria" w:hAnsi="Cambria"/>
              </w:rPr>
              <w:t>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</w:rPr>
              <w:t>ст</w:t>
            </w:r>
            <w:proofErr w:type="gramEnd"/>
            <w:r>
              <w:rPr>
                <w:rFonts w:ascii="Cambria" w:hAnsi="Cambria"/>
              </w:rPr>
              <w:t>ічних</w:t>
            </w:r>
            <w:proofErr w:type="spellEnd"/>
            <w:r>
              <w:rPr>
                <w:rFonts w:ascii="Cambria" w:hAnsi="Cambria"/>
              </w:rPr>
              <w:t xml:space="preserve"> вод </w:t>
            </w:r>
            <w:proofErr w:type="spellStart"/>
            <w:r>
              <w:rPr>
                <w:rFonts w:ascii="Cambria" w:hAnsi="Cambria"/>
              </w:rPr>
              <w:t>від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існуючої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забудови</w:t>
            </w:r>
            <w:proofErr w:type="spellEnd"/>
            <w:r>
              <w:rPr>
                <w:rFonts w:ascii="Cambria" w:hAnsi="Cambria"/>
              </w:rPr>
              <w:t xml:space="preserve"> на </w:t>
            </w:r>
            <w:proofErr w:type="spellStart"/>
            <w:r>
              <w:rPr>
                <w:rFonts w:ascii="Cambria" w:hAnsi="Cambria"/>
              </w:rPr>
              <w:t>існуючі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Галицинівські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очисні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споруди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049B1">
              <w:rPr>
                <w:rFonts w:ascii="Cambria" w:hAnsi="Cambria"/>
                <w:u w:val="single"/>
              </w:rPr>
              <w:t>тис</w:t>
            </w:r>
            <w:proofErr w:type="gramStart"/>
            <w:r w:rsidRPr="009049B1">
              <w:rPr>
                <w:rFonts w:ascii="Cambria" w:hAnsi="Cambria"/>
                <w:u w:val="single"/>
              </w:rPr>
              <w:t>.</w:t>
            </w:r>
            <w:proofErr w:type="gramEnd"/>
            <w:r w:rsidRPr="009049B1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9049B1">
              <w:rPr>
                <w:rFonts w:ascii="Cambria" w:hAnsi="Cambria"/>
                <w:u w:val="single"/>
              </w:rPr>
              <w:t>м</w:t>
            </w:r>
            <w:proofErr w:type="gramEnd"/>
            <w:r w:rsidRPr="009049B1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049B1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1,035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3,960</w:t>
            </w:r>
          </w:p>
        </w:tc>
      </w:tr>
      <w:tr w:rsidR="009B0E3B" w:rsidRPr="00E445CC" w:rsidTr="00CF2C7A">
        <w:trPr>
          <w:trHeight w:val="45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008B3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5008B3">
              <w:rPr>
                <w:rFonts w:ascii="Cambria" w:hAnsi="Cambria"/>
              </w:rPr>
              <w:t>Потужність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Галицинівських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очисних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споруд</w:t>
            </w:r>
            <w:proofErr w:type="spellEnd"/>
            <w:r w:rsidRPr="005008B3">
              <w:rPr>
                <w:rFonts w:ascii="Cambria" w:hAnsi="Cambria"/>
              </w:rPr>
              <w:t xml:space="preserve"> (</w:t>
            </w:r>
            <w:proofErr w:type="spellStart"/>
            <w:proofErr w:type="gramStart"/>
            <w:r w:rsidRPr="005008B3">
              <w:rPr>
                <w:rFonts w:ascii="Cambria" w:hAnsi="Cambria"/>
              </w:rPr>
              <w:t>п</w:t>
            </w:r>
            <w:proofErr w:type="gramEnd"/>
            <w:r w:rsidRPr="005008B3">
              <w:rPr>
                <w:rFonts w:ascii="Cambria" w:hAnsi="Cambria"/>
              </w:rPr>
              <w:t>ідлягають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реконструкції</w:t>
            </w:r>
            <w:proofErr w:type="spellEnd"/>
            <w:r w:rsidRPr="005008B3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049B1">
              <w:rPr>
                <w:rFonts w:ascii="Cambria" w:hAnsi="Cambria"/>
                <w:u w:val="single"/>
              </w:rPr>
              <w:t>тис</w:t>
            </w:r>
            <w:proofErr w:type="gramStart"/>
            <w:r w:rsidRPr="009049B1">
              <w:rPr>
                <w:rFonts w:ascii="Cambria" w:hAnsi="Cambria"/>
                <w:u w:val="single"/>
              </w:rPr>
              <w:t>.</w:t>
            </w:r>
            <w:proofErr w:type="gramEnd"/>
            <w:r w:rsidRPr="009049B1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9049B1">
              <w:rPr>
                <w:rFonts w:ascii="Cambria" w:hAnsi="Cambria"/>
                <w:u w:val="single"/>
              </w:rPr>
              <w:t>м</w:t>
            </w:r>
            <w:proofErr w:type="gramEnd"/>
            <w:r w:rsidRPr="009049B1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9049B1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104,0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9049B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9049B1">
              <w:rPr>
                <w:rFonts w:ascii="Cambria" w:hAnsi="Cambria"/>
              </w:rPr>
              <w:t>202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008B3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5008B3">
              <w:rPr>
                <w:rFonts w:ascii="Cambria" w:hAnsi="Cambria"/>
              </w:rPr>
              <w:t>Очисні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споруди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господарсько-комунальної</w:t>
            </w:r>
            <w:proofErr w:type="spellEnd"/>
            <w:r w:rsidRPr="005008B3">
              <w:rPr>
                <w:rFonts w:ascii="Cambria" w:hAnsi="Cambria"/>
              </w:rPr>
              <w:t xml:space="preserve"> </w:t>
            </w:r>
            <w:proofErr w:type="spellStart"/>
            <w:r w:rsidRPr="005008B3">
              <w:rPr>
                <w:rFonts w:ascii="Cambria" w:hAnsi="Cambria"/>
              </w:rPr>
              <w:t>каналізації</w:t>
            </w:r>
            <w:proofErr w:type="spellEnd"/>
            <w:r w:rsidRPr="005008B3">
              <w:rPr>
                <w:rFonts w:ascii="Cambria" w:hAnsi="Cambria"/>
              </w:rPr>
              <w:t xml:space="preserve"> (</w:t>
            </w:r>
            <w:proofErr w:type="spellStart"/>
            <w:r w:rsidRPr="005008B3">
              <w:rPr>
                <w:rFonts w:ascii="Cambria" w:hAnsi="Cambria"/>
              </w:rPr>
              <w:t>локальні</w:t>
            </w:r>
            <w:proofErr w:type="spellEnd"/>
            <w:r w:rsidRPr="005008B3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008B3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5008B3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008B3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5008B3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5008B3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5008B3">
              <w:rPr>
                <w:rFonts w:ascii="Cambria" w:hAnsi="Cambria"/>
              </w:rPr>
              <w:t>1</w:t>
            </w:r>
          </w:p>
        </w:tc>
      </w:tr>
      <w:tr w:rsidR="009B0E3B" w:rsidRPr="00E445CC" w:rsidTr="00CF2C7A">
        <w:trPr>
          <w:trHeight w:val="3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Електропостачання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Сумарне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електроенергії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 xml:space="preserve">МВт 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</w:t>
            </w:r>
            <w:proofErr w:type="gramStart"/>
            <w:r>
              <w:rPr>
                <w:rFonts w:ascii="Cambria" w:hAnsi="Cambria"/>
              </w:rPr>
              <w:t>.д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3,1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Теплопостачання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тепла, </w:t>
            </w:r>
            <w:proofErr w:type="spellStart"/>
            <w:r w:rsidRPr="00164DCD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МВт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15,53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74DA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74DA1">
              <w:rPr>
                <w:rFonts w:ascii="Cambria" w:hAnsi="Cambria"/>
              </w:rPr>
              <w:t>276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Газопостачання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74DA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9B0E3B" w:rsidRPr="00E445CC" w:rsidTr="00CF2C7A">
        <w:trPr>
          <w:trHeight w:val="44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газу, </w:t>
            </w:r>
            <w:proofErr w:type="spellStart"/>
            <w:r w:rsidRPr="00164DCD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млн. м</w:t>
            </w:r>
            <w:r w:rsidRPr="00164DCD">
              <w:rPr>
                <w:rFonts w:ascii="Cambria" w:hAnsi="Cambria"/>
                <w:vertAlign w:val="superscript"/>
              </w:rPr>
              <w:t>3</w:t>
            </w:r>
            <w:r w:rsidRPr="00164DCD">
              <w:rPr>
                <w:rFonts w:ascii="Cambria" w:hAnsi="Cambria"/>
              </w:rPr>
              <w:t>/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</w:t>
            </w:r>
            <w:proofErr w:type="gramStart"/>
            <w:r>
              <w:rPr>
                <w:rFonts w:ascii="Cambria" w:hAnsi="Cambria"/>
              </w:rPr>
              <w:t>.д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A74DA1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A74DA1">
              <w:rPr>
                <w:rFonts w:ascii="Cambria" w:hAnsi="Cambria"/>
              </w:rPr>
              <w:t>1,05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164DCD">
              <w:rPr>
                <w:rFonts w:ascii="Cambria" w:hAnsi="Cambria"/>
                <w:b/>
              </w:rPr>
              <w:t>8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Інженерна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164DCD">
              <w:rPr>
                <w:rFonts w:ascii="Cambria" w:hAnsi="Cambria"/>
                <w:b/>
              </w:rPr>
              <w:t>п</w:t>
            </w:r>
            <w:proofErr w:type="gramEnd"/>
            <w:r w:rsidRPr="00164DCD">
              <w:rPr>
                <w:rFonts w:ascii="Cambria" w:hAnsi="Cambria"/>
                <w:b/>
              </w:rPr>
              <w:t>ідготовка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та </w:t>
            </w:r>
            <w:proofErr w:type="spellStart"/>
            <w:r w:rsidRPr="00164DCD">
              <w:rPr>
                <w:rFonts w:ascii="Cambria" w:hAnsi="Cambria"/>
                <w:b/>
              </w:rPr>
              <w:t>захист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території</w:t>
            </w:r>
            <w:proofErr w:type="spellEnd"/>
            <w:r w:rsidRPr="00164DCD">
              <w:rPr>
                <w:rFonts w:ascii="Cambria" w:hAnsi="Cambria"/>
                <w:b/>
              </w:rPr>
              <w:t> 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Захист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території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від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затоплення</w:t>
            </w:r>
            <w:proofErr w:type="spellEnd"/>
            <w:r w:rsidRPr="00164DCD">
              <w:rPr>
                <w:rFonts w:ascii="Cambria" w:hAnsi="Cambria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43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C6547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протяжність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захисних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Намив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п</w:t>
            </w:r>
            <w:proofErr w:type="gramEnd"/>
            <w:r w:rsidRPr="00164DCD">
              <w:rPr>
                <w:rFonts w:ascii="Cambria" w:hAnsi="Cambria"/>
              </w:rPr>
              <w:t>ідсипання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8,45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Берегоукріплення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дамби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Розчищення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водойм</w:t>
            </w:r>
            <w:proofErr w:type="spellEnd"/>
            <w:r w:rsidRPr="00164DCD"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</w:rPr>
              <w:t xml:space="preserve">р. </w:t>
            </w:r>
            <w:proofErr w:type="spellStart"/>
            <w:r>
              <w:rPr>
                <w:rFonts w:ascii="Cambria" w:hAnsi="Cambria"/>
              </w:rPr>
              <w:t>Інгул</w:t>
            </w:r>
            <w:proofErr w:type="spellEnd"/>
            <w:r w:rsidRPr="00164DCD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7B6C7F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7B6C7F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7B6C7F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4,39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Пониження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івня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грунтових</w:t>
            </w:r>
            <w:proofErr w:type="spellEnd"/>
            <w:r w:rsidRPr="00164DCD">
              <w:rPr>
                <w:rFonts w:ascii="Cambria" w:hAnsi="Cambria"/>
              </w:rPr>
              <w:t xml:space="preserve"> вод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4C6547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Регулювання</w:t>
            </w:r>
            <w:proofErr w:type="spellEnd"/>
            <w:r w:rsidRPr="00164DCD">
              <w:rPr>
                <w:rFonts w:ascii="Cambria" w:hAnsi="Cambria"/>
              </w:rPr>
              <w:t xml:space="preserve"> русел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ік</w:t>
            </w:r>
            <w:proofErr w:type="spellEnd"/>
            <w:r w:rsidRPr="00164DCD">
              <w:rPr>
                <w:rFonts w:ascii="Cambria" w:hAnsi="Cambria"/>
              </w:rPr>
              <w:t>/</w:t>
            </w:r>
            <w:proofErr w:type="spellStart"/>
            <w:r w:rsidRPr="00164DCD">
              <w:rPr>
                <w:rFonts w:ascii="Cambria" w:hAnsi="Cambria"/>
              </w:rPr>
              <w:t>водойм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gramStart"/>
            <w:r w:rsidRPr="00164DCD">
              <w:rPr>
                <w:rFonts w:ascii="Cambria" w:hAnsi="Cambria"/>
              </w:rPr>
              <w:t>км</w:t>
            </w:r>
            <w:proofErr w:type="gramEnd"/>
            <w:r w:rsidRPr="00164DCD">
              <w:rPr>
                <w:rFonts w:ascii="Cambria" w:hAnsi="Cambria"/>
              </w:rPr>
              <w:t>/га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Протиерозійні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r w:rsidRPr="00164DCD">
              <w:rPr>
                <w:rFonts w:ascii="Cambria" w:hAnsi="Cambria"/>
              </w:rPr>
              <w:t>протизсувні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r w:rsidRPr="00164DCD">
              <w:rPr>
                <w:rFonts w:ascii="Cambria" w:hAnsi="Cambria"/>
              </w:rPr>
              <w:t>протикарстові</w:t>
            </w:r>
            <w:proofErr w:type="spellEnd"/>
            <w:r w:rsidRPr="00164DCD">
              <w:rPr>
                <w:rFonts w:ascii="Cambria" w:hAnsi="Cambria"/>
              </w:rPr>
              <w:t xml:space="preserve"> заходи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Освоєння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заторфованих</w:t>
            </w:r>
            <w:proofErr w:type="spellEnd"/>
            <w:r w:rsidRPr="00164DCD">
              <w:rPr>
                <w:rFonts w:ascii="Cambria" w:hAnsi="Cambria"/>
              </w:rPr>
              <w:t xml:space="preserve"> і </w:t>
            </w:r>
            <w:proofErr w:type="spellStart"/>
            <w:r w:rsidRPr="00164DCD">
              <w:rPr>
                <w:rFonts w:ascii="Cambria" w:hAnsi="Cambria"/>
              </w:rPr>
              <w:t>заболочених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територій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Рекультивація</w:t>
            </w:r>
            <w:proofErr w:type="spellEnd"/>
            <w:r w:rsidRPr="00164DCD">
              <w:rPr>
                <w:rFonts w:ascii="Cambria" w:hAnsi="Cambria"/>
              </w:rPr>
              <w:t xml:space="preserve"> (</w:t>
            </w:r>
            <w:proofErr w:type="spellStart"/>
            <w:r w:rsidRPr="00164DCD">
              <w:rPr>
                <w:rFonts w:ascii="Cambria" w:hAnsi="Cambria"/>
              </w:rPr>
              <w:t>деградовані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землі</w:t>
            </w:r>
            <w:proofErr w:type="spellEnd"/>
            <w:r w:rsidRPr="00164DCD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можливого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затоплення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06800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1,60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можливого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ідтоплення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06800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що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осушуються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F06800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1,60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Освоєння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територій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із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складними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умовами</w:t>
            </w:r>
            <w:proofErr w:type="spellEnd"/>
            <w:r w:rsidRPr="00164DCD">
              <w:rPr>
                <w:rFonts w:ascii="Cambria" w:hAnsi="Cambria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протипросадні</w:t>
            </w:r>
            <w:proofErr w:type="spellEnd"/>
            <w:r w:rsidRPr="00164DCD">
              <w:rPr>
                <w:rFonts w:ascii="Cambria" w:hAnsi="Cambria"/>
              </w:rPr>
              <w:t xml:space="preserve"> заходи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сейсмічністю</w:t>
            </w:r>
            <w:proofErr w:type="spellEnd"/>
            <w:r w:rsidRPr="00164DCD">
              <w:rPr>
                <w:rFonts w:ascii="Cambria" w:hAnsi="Cambria"/>
              </w:rPr>
              <w:t xml:space="preserve"> 6-7 </w:t>
            </w:r>
            <w:proofErr w:type="spellStart"/>
            <w:r w:rsidRPr="00164DCD">
              <w:rPr>
                <w:rFonts w:ascii="Cambria" w:hAnsi="Cambria"/>
              </w:rPr>
              <w:t>балі</w:t>
            </w:r>
            <w:proofErr w:type="gramStart"/>
            <w:r w:rsidRPr="00164DCD">
              <w:rPr>
                <w:rFonts w:ascii="Cambria" w:hAnsi="Cambria"/>
              </w:rPr>
              <w:t>в</w:t>
            </w:r>
            <w:proofErr w:type="spellEnd"/>
            <w:proofErr w:type="gramEnd"/>
            <w:r w:rsidRPr="00164DCD">
              <w:rPr>
                <w:rFonts w:ascii="Cambria" w:hAnsi="Cambria"/>
              </w:rPr>
              <w:t xml:space="preserve"> і </w:t>
            </w:r>
            <w:proofErr w:type="spellStart"/>
            <w:r w:rsidRPr="00164DCD">
              <w:rPr>
                <w:rFonts w:ascii="Cambria" w:hAnsi="Cambria"/>
              </w:rPr>
              <w:t>більше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90,00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Дощова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 w:rsidRPr="00164DCD">
              <w:rPr>
                <w:rFonts w:ascii="Cambria" w:hAnsi="Cambria"/>
                <w:b/>
              </w:rPr>
              <w:t>(</w:t>
            </w:r>
            <w:proofErr w:type="spellStart"/>
            <w:r w:rsidRPr="00164DCD">
              <w:rPr>
                <w:rFonts w:ascii="Cambria" w:hAnsi="Cambria"/>
                <w:b/>
              </w:rPr>
              <w:t>відкритого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типу)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Дощова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 w:rsidRPr="00164DCD">
              <w:rPr>
                <w:rFonts w:ascii="Cambria" w:hAnsi="Cambria"/>
                <w:b/>
              </w:rPr>
              <w:t>(</w:t>
            </w:r>
            <w:proofErr w:type="spellStart"/>
            <w:r w:rsidRPr="00164DCD">
              <w:rPr>
                <w:rFonts w:ascii="Cambria" w:hAnsi="Cambria"/>
                <w:b/>
              </w:rPr>
              <w:t>закритого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типу)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9,79</w:t>
            </w: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Очисні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споруди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дощової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8F37B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9B0E3B" w:rsidRPr="00E445CC" w:rsidTr="00CF2C7A">
        <w:trPr>
          <w:trHeight w:val="38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164DCD">
              <w:rPr>
                <w:rFonts w:ascii="Cambria" w:hAnsi="Cambria"/>
                <w:b/>
              </w:rPr>
              <w:t>9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Санітарне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очищення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території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</w:tr>
      <w:tr w:rsidR="009B0E3B" w:rsidRPr="00E445CC" w:rsidTr="00CF2C7A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Обсяги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твердих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побутових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відходів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164DCD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тис</w:t>
            </w:r>
            <w:proofErr w:type="gramStart"/>
            <w:r w:rsidRPr="00164DCD">
              <w:rPr>
                <w:rFonts w:ascii="Cambria" w:hAnsi="Cambria"/>
              </w:rPr>
              <w:t>.т</w:t>
            </w:r>
            <w:proofErr w:type="spellEnd"/>
            <w:proofErr w:type="gramEnd"/>
            <w:r w:rsidRPr="00164DCD">
              <w:rPr>
                <w:rFonts w:ascii="Cambria" w:hAnsi="Cambria"/>
              </w:rPr>
              <w:t>/</w:t>
            </w:r>
            <w:proofErr w:type="spellStart"/>
            <w:r w:rsidRPr="00164DCD">
              <w:rPr>
                <w:rFonts w:ascii="Cambria" w:hAnsi="Cambria"/>
              </w:rPr>
              <w:t>рік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F354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F3542">
              <w:rPr>
                <w:rFonts w:ascii="Cambria" w:hAnsi="Cambria"/>
              </w:rPr>
              <w:t>20,69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0F3542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0F3542">
              <w:rPr>
                <w:rFonts w:ascii="Cambria" w:hAnsi="Cambria"/>
              </w:rPr>
              <w:t>5,27</w:t>
            </w:r>
          </w:p>
        </w:tc>
      </w:tr>
      <w:tr w:rsidR="009B0E3B" w:rsidRPr="00E445CC" w:rsidTr="00CF2C7A">
        <w:trPr>
          <w:trHeight w:val="36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Несанкціоновані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смі</w:t>
            </w:r>
            <w:proofErr w:type="gramStart"/>
            <w:r w:rsidRPr="00164DCD">
              <w:rPr>
                <w:rFonts w:ascii="Cambria" w:hAnsi="Cambria"/>
                <w:b/>
              </w:rPr>
              <w:t>тт</w:t>
            </w:r>
            <w:proofErr w:type="gramEnd"/>
            <w:r w:rsidRPr="00164DCD">
              <w:rPr>
                <w:rFonts w:ascii="Cambria" w:hAnsi="Cambria"/>
                <w:b/>
              </w:rPr>
              <w:t>єзвалища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(в межах ДПТ)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4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9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164DC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2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Полігон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ТПВ </w:t>
            </w:r>
            <w:r>
              <w:rPr>
                <w:rFonts w:ascii="Cambria" w:hAnsi="Cambria"/>
                <w:b/>
              </w:rPr>
              <w:t xml:space="preserve">(за межами ДПТ, в межах </w:t>
            </w:r>
            <w:proofErr w:type="spellStart"/>
            <w:r>
              <w:rPr>
                <w:rFonts w:ascii="Cambria" w:hAnsi="Cambria"/>
                <w:b/>
              </w:rPr>
              <w:t>Веснянської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сільської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ради</w:t>
            </w:r>
            <w:proofErr w:type="gram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42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9B0E3B" w:rsidRPr="00E445CC" w:rsidTr="00CF2C7A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E86212">
              <w:rPr>
                <w:rFonts w:ascii="Cambria" w:hAnsi="Cambria"/>
              </w:rPr>
              <w:t>37, 93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E86212">
              <w:rPr>
                <w:rFonts w:ascii="Cambria" w:hAnsi="Cambria"/>
              </w:rPr>
              <w:t>37, 93</w:t>
            </w:r>
          </w:p>
        </w:tc>
      </w:tr>
      <w:tr w:rsidR="009B0E3B" w:rsidRPr="00E445CC" w:rsidTr="00CF2C7A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proofErr w:type="gramStart"/>
            <w:r>
              <w:rPr>
                <w:rFonts w:ascii="Cambria" w:hAnsi="Cambria"/>
                <w:b/>
              </w:rPr>
              <w:t>П</w:t>
            </w:r>
            <w:proofErr w:type="gramEnd"/>
            <w:r w:rsidRPr="00E86212">
              <w:rPr>
                <w:rFonts w:ascii="Cambria" w:hAnsi="Cambria"/>
                <w:b/>
              </w:rPr>
              <w:t>ідприємств</w:t>
            </w:r>
            <w:r>
              <w:rPr>
                <w:rFonts w:ascii="Cambria" w:hAnsi="Cambria"/>
                <w:b/>
              </w:rPr>
              <w:t>о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промислової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переробки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відходів</w:t>
            </w:r>
            <w:proofErr w:type="spellEnd"/>
            <w:r>
              <w:rPr>
                <w:rFonts w:ascii="Cambria" w:hAnsi="Cambria"/>
                <w:b/>
              </w:rPr>
              <w:t xml:space="preserve"> СПКЕ</w:t>
            </w:r>
          </w:p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proofErr w:type="spellStart"/>
            <w:r w:rsidRPr="00E86212">
              <w:rPr>
                <w:rFonts w:ascii="Cambria" w:hAnsi="Cambria"/>
                <w:b/>
              </w:rPr>
              <w:t>сортув</w:t>
            </w:r>
            <w:r>
              <w:rPr>
                <w:rFonts w:ascii="Cambria" w:hAnsi="Cambria"/>
                <w:b/>
              </w:rPr>
              <w:t>ально</w:t>
            </w:r>
            <w:proofErr w:type="spellEnd"/>
            <w:r>
              <w:rPr>
                <w:rFonts w:ascii="Cambria" w:hAnsi="Cambria"/>
                <w:b/>
              </w:rPr>
              <w:t>–</w:t>
            </w:r>
            <w:proofErr w:type="spellStart"/>
            <w:r>
              <w:rPr>
                <w:rFonts w:ascii="Cambria" w:hAnsi="Cambria"/>
                <w:b/>
              </w:rPr>
              <w:t>переробний</w:t>
            </w:r>
            <w:proofErr w:type="spellEnd"/>
            <w:r>
              <w:rPr>
                <w:rFonts w:ascii="Cambria" w:hAnsi="Cambria"/>
                <w:b/>
              </w:rPr>
              <w:t xml:space="preserve"> комплекс з </w:t>
            </w:r>
            <w:proofErr w:type="spellStart"/>
            <w:r w:rsidRPr="00E86212">
              <w:rPr>
                <w:rFonts w:ascii="Cambria" w:hAnsi="Cambria"/>
                <w:b/>
              </w:rPr>
              <w:t>виробництвом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електричної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чи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теплової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енергії</w:t>
            </w:r>
            <w:proofErr w:type="spell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9B0E3B" w:rsidRPr="00E445CC" w:rsidTr="00CF2C7A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</w:t>
            </w:r>
          </w:p>
        </w:tc>
      </w:tr>
      <w:tr w:rsidR="009B0E3B" w:rsidRPr="00E445CC" w:rsidTr="00CF2C7A">
        <w:trPr>
          <w:trHeight w:val="38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</w:t>
            </w:r>
            <w:r>
              <w:rPr>
                <w:rFonts w:ascii="Cambria" w:hAnsi="Cambria"/>
                <w:b/>
              </w:rPr>
              <w:t>ладовище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традиційного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поховання</w:t>
            </w:r>
            <w:proofErr w:type="spellEnd"/>
            <w:r>
              <w:rPr>
                <w:rFonts w:ascii="Cambria" w:hAnsi="Cambria"/>
                <w:b/>
              </w:rPr>
              <w:t xml:space="preserve"> (в межах ДПТ)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372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45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Кладовище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традиційного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поховання</w:t>
            </w:r>
            <w:proofErr w:type="spellEnd"/>
            <w:r>
              <w:rPr>
                <w:rFonts w:ascii="Cambria" w:hAnsi="Cambria"/>
                <w:b/>
              </w:rPr>
              <w:t xml:space="preserve"> – </w:t>
            </w:r>
          </w:p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Тернівське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кладовище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B05CFD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за межами ДПТ, м. </w:t>
            </w:r>
            <w:proofErr w:type="spellStart"/>
            <w:r>
              <w:rPr>
                <w:rFonts w:ascii="Cambria" w:hAnsi="Cambria"/>
                <w:b/>
              </w:rPr>
              <w:t>Миколаїв</w:t>
            </w:r>
            <w:proofErr w:type="spellEnd"/>
            <w:r w:rsidRPr="00B05CFD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8508B4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8508B4">
              <w:rPr>
                <w:rFonts w:ascii="Cambria" w:hAnsi="Cambria"/>
              </w:rPr>
              <w:t>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8508B4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8508B4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8508B4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8508B4">
              <w:rPr>
                <w:rFonts w:ascii="Cambria" w:hAnsi="Cambria"/>
              </w:rPr>
              <w:t>4,0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8508B4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8508B4">
              <w:rPr>
                <w:rFonts w:ascii="Cambria" w:hAnsi="Cambria"/>
              </w:rPr>
              <w:t>-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Кладовище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традиційного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поховання</w:t>
            </w:r>
            <w:proofErr w:type="spellEnd"/>
          </w:p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rPr>
                <w:rFonts w:ascii="Cambria" w:hAnsi="Cambria"/>
                <w:b/>
              </w:rPr>
            </w:pPr>
            <w:r w:rsidRPr="00B05CFD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за межами ДПТ, </w:t>
            </w:r>
            <w:proofErr w:type="spellStart"/>
            <w:r w:rsidRPr="0062357C">
              <w:rPr>
                <w:rFonts w:ascii="Cambria" w:hAnsi="Cambria"/>
                <w:b/>
              </w:rPr>
              <w:t>поряд</w:t>
            </w:r>
            <w:proofErr w:type="spellEnd"/>
            <w:r w:rsidRPr="0062357C">
              <w:rPr>
                <w:rFonts w:ascii="Cambria" w:hAnsi="Cambria"/>
                <w:b/>
              </w:rPr>
              <w:t xml:space="preserve"> з </w:t>
            </w:r>
            <w:proofErr w:type="spellStart"/>
            <w:r w:rsidRPr="0062357C">
              <w:rPr>
                <w:rFonts w:ascii="Cambria" w:hAnsi="Cambria"/>
                <w:b/>
              </w:rPr>
              <w:t>Матвіївським</w:t>
            </w:r>
            <w:proofErr w:type="spellEnd"/>
            <w:r w:rsidRPr="006235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62357C">
              <w:rPr>
                <w:rFonts w:ascii="Cambria" w:hAnsi="Cambria"/>
                <w:b/>
              </w:rPr>
              <w:t>кладовищем</w:t>
            </w:r>
            <w:proofErr w:type="spellEnd"/>
            <w:r w:rsidRPr="00B05CFD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9B0E3B" w:rsidRPr="00E445CC" w:rsidTr="00CF2C7A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E445CC" w:rsidRDefault="009B0E3B" w:rsidP="00CF2C7A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tabs>
                <w:tab w:val="left" w:pos="4882"/>
              </w:tabs>
              <w:ind w:left="900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E3B" w:rsidRPr="00B05CFD" w:rsidRDefault="009B0E3B" w:rsidP="00CF2C7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145,0</w:t>
            </w:r>
          </w:p>
        </w:tc>
      </w:tr>
    </w:tbl>
    <w:p w:rsidR="009B0E3B" w:rsidRDefault="009B0E3B" w:rsidP="009B0E3B">
      <w:pPr>
        <w:ind w:firstLine="426"/>
        <w:jc w:val="both"/>
        <w:rPr>
          <w:b/>
          <w:sz w:val="24"/>
          <w:szCs w:val="24"/>
        </w:rPr>
      </w:pPr>
    </w:p>
    <w:p w:rsidR="009B0E3B" w:rsidRDefault="009B0E3B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B2B" w:rsidRDefault="00E60FA1" w:rsidP="00E60F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BE5B2B" w:rsidRDefault="00BE5B2B" w:rsidP="00E60F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5B2B" w:rsidRDefault="00BE5B2B" w:rsidP="00E60F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3D05" w:rsidRDefault="00E60FA1" w:rsidP="00E60F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1381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Відповідно  до 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>п. 4. ст. 2, пп.2. п.1. ст.ст. 19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</w:t>
      </w:r>
      <w:r w:rsidR="00FA0C08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регулювання містобудівної діяльності»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 ст.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>ст. 12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стратегічну екологічну  оцінку»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 xml:space="preserve">Наказу  Міністерства регіонального розвитку, будівництва  та житлово-комунального господарства України від 16.11.2011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>№ 290 «Про затвердження  Порядку розроблення  містобудівної документації»,</w:t>
      </w:r>
      <w:r w:rsidR="00663D05">
        <w:rPr>
          <w:sz w:val="24"/>
          <w:szCs w:val="24"/>
          <w:lang w:val="uk-UA"/>
        </w:rPr>
        <w:t xml:space="preserve"> 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проведення  громадських слухань    щодо врахування   громадських  інтересів    під час розроблення  </w:t>
      </w:r>
      <w:proofErr w:type="spellStart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містобудівної  документації   на місцевому  рівні, затвердженого Постановою Кабінету   Міністрів Укр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аїни  від 25.05.2011  № 555,  08.10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  було розпочато   процедуру громадських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обговорень по </w:t>
      </w:r>
      <w:proofErr w:type="spellStart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Детального плану </w:t>
      </w:r>
      <w:r w:rsidRP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="00790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Звіту про стратегічну екологічну оцінку</w:t>
      </w:r>
      <w:r w:rsidRP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шляхом розміщення  повідомлення,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графічних  матеріалів та пояснювальної  записки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 xml:space="preserve">  на сайті Миколаївської міської ради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розділі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: «Оголошення», «Будівництво», «Проек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детальних планів територій 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Миколаєва»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опублі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ковано повідомлення  08.10.2020 в друкованому виданні  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«ВЕЧЕРНИЙ НИКОЛА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ЕВ» 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одержання та врахування зауважень </w:t>
      </w:r>
      <w:r w:rsidR="008C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8C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пропозицій громадськості.</w:t>
      </w:r>
    </w:p>
    <w:p w:rsidR="00732DDC" w:rsidRPr="00D040E9" w:rsidRDefault="008C2016" w:rsidP="00732D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40E9">
        <w:rPr>
          <w:shd w:val="clear" w:color="auto" w:fill="FFFFFF"/>
          <w:lang w:val="uk-UA"/>
        </w:rPr>
        <w:t xml:space="preserve">             </w:t>
      </w:r>
      <w:r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 громадських обговорень  було встановлено 30 днів:  з 08.10.2020 по 08.11.2020,</w:t>
      </w:r>
      <w:r w:rsidR="00D040E9"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дату проведення громадських слухань  було  заплановано на  30.10.2020</w:t>
      </w:r>
      <w:r w:rsid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дану</w:t>
      </w:r>
      <w:r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нформацію  опубліковано на сайті Миколаївської міської ради  розділ: «Оголошення» від 08.10.2020,  які  на виконання  постанови  Кабінету Міністр</w:t>
      </w:r>
      <w:r w:rsidR="00D04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України  від 11.03.2020 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№ 211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</w:t>
      </w:r>
      <w:proofErr w:type="spellStart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COVID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-19» (із змінами) та розпорядження Миколаївського міського голови від 16.03.2020 року №65р «Про тимчасове зупинення роботи об’єктів загального користування, розташованих у місті Миколаєві, з метою попередження розповсюдження захворюваності на гостру респіраторну інфекцію, спричинену </w:t>
      </w:r>
      <w:proofErr w:type="spellStart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COVID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-19»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 перенесено.</w:t>
      </w:r>
    </w:p>
    <w:p w:rsidR="000E13EA" w:rsidRDefault="00732DDC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перенесення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27.11.2020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запланованих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 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.2020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громадських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слухань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про подовження терміну громадських обговорень з 30 до 60 дні</w:t>
      </w:r>
      <w:proofErr w:type="gramStart"/>
      <w:r w:rsid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="0079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 08.10.2020 по 07.12.2020)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опубліковано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Мик</w:t>
      </w:r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олаївської</w:t>
      </w:r>
      <w:proofErr w:type="spellEnd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40E9" w:rsidRDefault="007900A4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Проведення  запланованих на 27.11.2020   громадських слухань було перенесено на 24.12.2020, термін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громадських обговорень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було подовжено   до 90 днів (з 08.10.2020 по 05.01.2021)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інформацію  про це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00A4" w:rsidRDefault="004452B3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Проведення  запланованих на 24.12.2020   громадських слухань було перенесено на 30.12.2020, дану інформацію опубліковано 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52B3" w:rsidRDefault="00171E5B" w:rsidP="004452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 запланованих на 30.12.2020   громадських слухань було перенесено на 20.01.2021, дану інформацію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52B3" w:rsidRDefault="00171E5B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 запланованих на 20.01.2021   громадських слухань було перенесено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заплановано  для проведення на 03.03.2021  </w:t>
      </w:r>
      <w:r w:rsidRPr="00E60FA1">
        <w:rPr>
          <w:rFonts w:ascii="Times New Roman" w:eastAsia="Times New Roman" w:hAnsi="Times New Roman" w:cs="Times New Roman"/>
          <w:sz w:val="28"/>
          <w:szCs w:val="28"/>
        </w:rPr>
        <w:t>о 1</w:t>
      </w:r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60FA1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 хв. за </w:t>
      </w:r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адресою: м. Миколаїв, вулиця Адміральська, 20, 4 поверх, велика зала (сесійна зала засідань міської ради)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інформацію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4452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900A4" w:rsidRDefault="004452B3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на сайті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24.02.2021  було  опубліковано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 про  термін громадських обговорень з 08.10.2020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0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>5.03.2021.</w:t>
      </w:r>
    </w:p>
    <w:p w:rsidR="00171E5B" w:rsidRPr="00171E5B" w:rsidRDefault="00171E5B" w:rsidP="00171E5B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71E5B">
        <w:rPr>
          <w:sz w:val="28"/>
          <w:szCs w:val="28"/>
          <w:lang w:val="uk-UA"/>
        </w:rPr>
        <w:t xml:space="preserve">Громадські слухання   було проведено  у відповідності із  постановою  Кабінету Міністрів України від     25.05.2011   № 555 «Про  затвердження Порядку проведення громадських  слухань     щодо врахування громадських інтересів  під час розроблення  </w:t>
      </w:r>
      <w:proofErr w:type="spellStart"/>
      <w:r w:rsidRPr="00171E5B">
        <w:rPr>
          <w:sz w:val="28"/>
          <w:szCs w:val="28"/>
          <w:lang w:val="uk-UA"/>
        </w:rPr>
        <w:t>проєктів</w:t>
      </w:r>
      <w:proofErr w:type="spellEnd"/>
      <w:r w:rsidRPr="00171E5B">
        <w:rPr>
          <w:sz w:val="28"/>
          <w:szCs w:val="28"/>
          <w:lang w:val="uk-UA"/>
        </w:rPr>
        <w:t xml:space="preserve">   містобудівної  документації  на м</w:t>
      </w:r>
      <w:r w:rsidR="00272D51">
        <w:rPr>
          <w:sz w:val="28"/>
          <w:szCs w:val="28"/>
          <w:lang w:val="uk-UA"/>
        </w:rPr>
        <w:t>ісцевому рівні»</w:t>
      </w:r>
      <w:r w:rsidRPr="00171E5B">
        <w:rPr>
          <w:sz w:val="28"/>
          <w:szCs w:val="28"/>
          <w:lang w:val="uk-UA"/>
        </w:rPr>
        <w:t xml:space="preserve">, які  відбулися </w:t>
      </w:r>
      <w:r w:rsidRPr="00272D51">
        <w:rPr>
          <w:rStyle w:val="ac"/>
          <w:b w:val="0"/>
          <w:sz w:val="28"/>
          <w:szCs w:val="28"/>
          <w:lang w:val="uk-UA"/>
        </w:rPr>
        <w:t>03.03.2021</w:t>
      </w:r>
      <w:r w:rsidRPr="00171E5B">
        <w:rPr>
          <w:sz w:val="28"/>
          <w:szCs w:val="28"/>
        </w:rPr>
        <w:t>  </w:t>
      </w:r>
      <w:r w:rsidRPr="00171E5B">
        <w:rPr>
          <w:sz w:val="28"/>
          <w:szCs w:val="28"/>
          <w:lang w:val="uk-UA"/>
        </w:rPr>
        <w:t xml:space="preserve"> о 13.00</w:t>
      </w:r>
      <w:r w:rsidRPr="00171E5B">
        <w:rPr>
          <w:sz w:val="28"/>
          <w:szCs w:val="28"/>
        </w:rPr>
        <w:t> </w:t>
      </w:r>
      <w:r w:rsidRPr="00171E5B">
        <w:rPr>
          <w:sz w:val="28"/>
          <w:szCs w:val="28"/>
          <w:lang w:val="uk-UA"/>
        </w:rPr>
        <w:t xml:space="preserve"> год.</w:t>
      </w:r>
      <w:r w:rsidRPr="00171E5B">
        <w:rPr>
          <w:sz w:val="28"/>
          <w:szCs w:val="28"/>
        </w:rPr>
        <w:t> </w:t>
      </w:r>
      <w:r w:rsidRPr="00171E5B">
        <w:rPr>
          <w:sz w:val="28"/>
          <w:szCs w:val="28"/>
          <w:lang w:val="uk-UA"/>
        </w:rPr>
        <w:t xml:space="preserve"> </w:t>
      </w:r>
      <w:r w:rsidRPr="00171E5B">
        <w:rPr>
          <w:sz w:val="28"/>
          <w:szCs w:val="28"/>
        </w:rPr>
        <w:t xml:space="preserve">за </w:t>
      </w:r>
      <w:r w:rsidRPr="00171E5B">
        <w:rPr>
          <w:sz w:val="28"/>
          <w:szCs w:val="28"/>
          <w:lang w:val="uk-UA"/>
        </w:rPr>
        <w:t xml:space="preserve">  </w:t>
      </w:r>
      <w:proofErr w:type="spellStart"/>
      <w:r w:rsidRPr="00171E5B">
        <w:rPr>
          <w:sz w:val="28"/>
          <w:szCs w:val="28"/>
        </w:rPr>
        <w:t>адресою</w:t>
      </w:r>
      <w:proofErr w:type="spellEnd"/>
      <w:r w:rsidRPr="00171E5B">
        <w:rPr>
          <w:sz w:val="28"/>
          <w:szCs w:val="28"/>
        </w:rPr>
        <w:t xml:space="preserve">: </w:t>
      </w:r>
      <w:r w:rsidR="000F286B">
        <w:rPr>
          <w:sz w:val="28"/>
          <w:szCs w:val="28"/>
          <w:lang w:val="uk-UA"/>
        </w:rPr>
        <w:t xml:space="preserve">             </w:t>
      </w:r>
      <w:r w:rsidRPr="00171E5B">
        <w:rPr>
          <w:sz w:val="28"/>
          <w:szCs w:val="28"/>
        </w:rPr>
        <w:t xml:space="preserve">м. </w:t>
      </w:r>
      <w:proofErr w:type="spellStart"/>
      <w:r w:rsidRPr="00171E5B">
        <w:rPr>
          <w:sz w:val="28"/>
          <w:szCs w:val="28"/>
        </w:rPr>
        <w:t>Миколаїв</w:t>
      </w:r>
      <w:proofErr w:type="spellEnd"/>
      <w:r w:rsidRPr="00171E5B">
        <w:rPr>
          <w:sz w:val="28"/>
          <w:szCs w:val="28"/>
        </w:rPr>
        <w:t xml:space="preserve">, </w:t>
      </w:r>
      <w:proofErr w:type="spellStart"/>
      <w:r w:rsidRPr="00171E5B">
        <w:rPr>
          <w:sz w:val="28"/>
          <w:szCs w:val="28"/>
        </w:rPr>
        <w:t>вул</w:t>
      </w:r>
      <w:proofErr w:type="spellEnd"/>
      <w:r w:rsidRPr="00171E5B">
        <w:rPr>
          <w:sz w:val="28"/>
          <w:szCs w:val="28"/>
        </w:rPr>
        <w:t xml:space="preserve">. </w:t>
      </w:r>
      <w:proofErr w:type="spellStart"/>
      <w:proofErr w:type="gramStart"/>
      <w:r w:rsidRPr="00171E5B">
        <w:rPr>
          <w:sz w:val="28"/>
          <w:szCs w:val="28"/>
        </w:rPr>
        <w:t>Адм</w:t>
      </w:r>
      <w:proofErr w:type="gramEnd"/>
      <w:r w:rsidRPr="00171E5B">
        <w:rPr>
          <w:sz w:val="28"/>
          <w:szCs w:val="28"/>
        </w:rPr>
        <w:t>іральська</w:t>
      </w:r>
      <w:proofErr w:type="spellEnd"/>
      <w:r w:rsidRPr="00171E5B">
        <w:rPr>
          <w:sz w:val="28"/>
          <w:szCs w:val="28"/>
        </w:rPr>
        <w:t>, 20, 4 поверх, велика зала (</w:t>
      </w:r>
      <w:proofErr w:type="spellStart"/>
      <w:r w:rsidRPr="00171E5B">
        <w:rPr>
          <w:sz w:val="28"/>
          <w:szCs w:val="28"/>
        </w:rPr>
        <w:t>сесійна</w:t>
      </w:r>
      <w:proofErr w:type="spellEnd"/>
      <w:r w:rsidRPr="00171E5B">
        <w:rPr>
          <w:sz w:val="28"/>
          <w:szCs w:val="28"/>
        </w:rPr>
        <w:t xml:space="preserve"> зала </w:t>
      </w:r>
      <w:proofErr w:type="spellStart"/>
      <w:r w:rsidRPr="00171E5B">
        <w:rPr>
          <w:sz w:val="28"/>
          <w:szCs w:val="28"/>
        </w:rPr>
        <w:t>засідань</w:t>
      </w:r>
      <w:proofErr w:type="spellEnd"/>
      <w:r w:rsidRPr="00171E5B">
        <w:rPr>
          <w:sz w:val="28"/>
          <w:szCs w:val="28"/>
        </w:rPr>
        <w:t xml:space="preserve"> </w:t>
      </w:r>
      <w:proofErr w:type="spellStart"/>
      <w:r w:rsidRPr="00171E5B">
        <w:rPr>
          <w:sz w:val="28"/>
          <w:szCs w:val="28"/>
        </w:rPr>
        <w:t>міської</w:t>
      </w:r>
      <w:proofErr w:type="spellEnd"/>
      <w:r w:rsidRPr="00171E5B">
        <w:rPr>
          <w:sz w:val="28"/>
          <w:szCs w:val="28"/>
        </w:rPr>
        <w:t xml:space="preserve"> ради)</w:t>
      </w:r>
      <w:r w:rsidRPr="00171E5B">
        <w:rPr>
          <w:sz w:val="28"/>
          <w:szCs w:val="28"/>
          <w:lang w:val="uk-UA"/>
        </w:rPr>
        <w:t xml:space="preserve">  на слуханнях  були  присутні  </w:t>
      </w:r>
      <w:r w:rsidRPr="00272D51">
        <w:rPr>
          <w:sz w:val="28"/>
          <w:szCs w:val="28"/>
          <w:lang w:val="uk-UA"/>
        </w:rPr>
        <w:t xml:space="preserve">65 </w:t>
      </w:r>
      <w:r w:rsidRPr="00171E5B">
        <w:rPr>
          <w:sz w:val="28"/>
          <w:szCs w:val="28"/>
          <w:lang w:val="uk-UA"/>
        </w:rPr>
        <w:t>громадян, що зафіксовано  п</w:t>
      </w:r>
      <w:r w:rsidR="00272D51">
        <w:rPr>
          <w:sz w:val="28"/>
          <w:szCs w:val="28"/>
          <w:lang w:val="uk-UA"/>
        </w:rPr>
        <w:t>ротоколом громадських  слухань.</w:t>
      </w:r>
    </w:p>
    <w:p w:rsidR="00272D51" w:rsidRDefault="00171E5B" w:rsidP="00B842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громадського обговорення </w:t>
      </w:r>
      <w:proofErr w:type="spellStart"/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містобудівної документації </w:t>
      </w:r>
      <w:r w:rsidR="00E60FA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та звіту про стратегічну екологічну оцінку, на  сайті Миколаївської міської ради  розділ: «Будівництво», «Оголошення» від 22.03.2021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0FA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опубліковано: 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60FA1" w:rsidRP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ідка про громадське обговорення, довідка про консультації,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ротокол  громадських слухань.</w:t>
      </w:r>
      <w:r w:rsidR="00732DDC" w:rsidRPr="00CF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5536E2" w:rsidRDefault="00171E5B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узгодження питань, що виникли у процесі проведення громадських слухань відповідно до Порядку проведення громадських слухань щодо врахування громадських інтересів під час розроблення проектів містобудівної документації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>на місцевому рівні, затвердженого постановою Кабінету Міністрів України від 25.05.2011 № 555 було створено та затверджено склад погоджувальної комісії рішенням виконкому міської ради від 26.05.2021 № 426 «Про створення погоджувальної комісії з розгляду спірних питань, що виникли у процесі проведення громадських слухань  щодо проектів містобудівної документації  - детальних планів територій».</w:t>
      </w:r>
    </w:p>
    <w:p w:rsidR="00CF2C7A" w:rsidRDefault="00E54D28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засідань комісії тривала з 01.06.2021 по 15.06.2021 включно (15 календарних днів).</w:t>
      </w:r>
    </w:p>
    <w:p w:rsidR="005536E2" w:rsidRDefault="00E54D28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результатам роботи Погоджувальної 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на офіційному сайті Миколаївської міської ради, розділ «Оголошення», «Будівництво»  07.07.</w:t>
      </w:r>
      <w:r w:rsidR="00B842C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21 оприлюднено протоколи</w:t>
      </w:r>
      <w:r w:rsidR="00063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63E7E" w:rsidRPr="00063E7E">
        <w:rPr>
          <w:rFonts w:ascii="Times New Roman" w:eastAsia="Times New Roman" w:hAnsi="Times New Roman" w:cs="Times New Roman"/>
          <w:sz w:val="28"/>
          <w:szCs w:val="28"/>
          <w:lang w:val="uk-UA"/>
        </w:rPr>
        <w:t>https://mkrada.gov.ua/news/14732.html</w:t>
      </w:r>
      <w:r w:rsidR="00063E7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зазначене із посиланням на сайт міської ради розміщено в друкованому виданні </w:t>
      </w:r>
      <w:r w:rsidR="00B853FD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«ВЕЧЕРНИЙ 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53FD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НИКОЛА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ЕВ»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15.07.2021р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тих питань, які не було врегульовано Погоджувальною комісією замовником містобудівної документації – департаментом архітектури та містобудування ММР рішення прийнято. </w:t>
      </w: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Default="00416D6D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4D28" w:rsidRDefault="005C2363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урахуванням вищезазначеного, а саме: 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результатів Громадського обговорення, Погоджувальної комісії та Рішення 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замовника містобудівної документації по неврегульованим питанням розробником детального плану – ФОП Зубик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 внесено корективи  до </w:t>
      </w:r>
      <w:proofErr w:type="spellStart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B655A8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65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містобудівної документації: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772D4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«Коригування: детальний план мікрорай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ону «Північний» в м. Миколаєві».</w:t>
      </w:r>
    </w:p>
    <w:p w:rsidR="004772D4" w:rsidRDefault="005C2363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Повідомлення 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оприлюднення   відкоригованого </w:t>
      </w:r>
      <w:proofErr w:type="spellStart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детального плану території опубліковано  11.10.2021 на  сайті Миколаївської міської ради, розділ «Будівництво», «Оголошення»,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також зазначено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посилання  за яким  розміщуються графічні матеріали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розділ «Будівництво», «Проекти детальних планів території м. Миколаєва».</w:t>
      </w:r>
    </w:p>
    <w:p w:rsidR="000F286B" w:rsidRDefault="000F286B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812" w:rsidRPr="003D3E9A" w:rsidRDefault="00013812" w:rsidP="0001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Контроль за виконанням даного рішення покласти на </w:t>
      </w:r>
      <w:r w:rsidRPr="000E2E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міського голови Андрієнка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Ю.Г.</w:t>
      </w:r>
    </w:p>
    <w:p w:rsidR="00013812" w:rsidRPr="00013812" w:rsidRDefault="00013812" w:rsidP="005C236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</w:t>
      </w:r>
      <w:r w:rsidR="00384EC7">
        <w:rPr>
          <w:rFonts w:ascii="Times New Roman" w:eastAsia="Times New Roman" w:hAnsi="Times New Roman" w:cs="Times New Roman"/>
          <w:sz w:val="28"/>
          <w:szCs w:val="28"/>
          <w:lang w:val="uk-UA"/>
        </w:rPr>
        <w:t>ради не пізніш як за 10</w:t>
      </w:r>
      <w:r w:rsidR="003B15E9">
        <w:rPr>
          <w:rFonts w:ascii="Times New Roman" w:eastAsia="Times New Roman" w:hAnsi="Times New Roman" w:cs="Times New Roman"/>
          <w:sz w:val="28"/>
          <w:szCs w:val="28"/>
          <w:lang w:val="uk-UA"/>
        </w:rPr>
        <w:t> робочих днів до дати його</w:t>
      </w: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розгляду на черговій сесії ради.</w:t>
      </w:r>
    </w:p>
    <w:p w:rsidR="00013812" w:rsidRPr="00013812" w:rsidRDefault="00013812" w:rsidP="005C2363">
      <w:pPr>
        <w:keepNext/>
        <w:spacing w:after="0" w:line="380" w:lineRule="exact"/>
        <w:ind w:right="-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13812" w:rsidRPr="00BA5FF8" w:rsidRDefault="00013812" w:rsidP="005C2363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B0483" w:rsidRPr="00CF2C7A" w:rsidRDefault="007B0483" w:rsidP="005C2363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 та містобудування –</w:t>
      </w: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архітектор міста                               </w:t>
      </w:r>
      <w:r w:rsid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ЦИМБАЛ</w:t>
      </w:r>
    </w:p>
    <w:p w:rsidR="000046E8" w:rsidRPr="009B0E3B" w:rsidRDefault="000046E8" w:rsidP="00BA5FF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46E8" w:rsidRPr="009B0E3B" w:rsidSect="00CF2C7A"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8" w:rsidRDefault="00780198" w:rsidP="00CF7B99">
      <w:pPr>
        <w:spacing w:after="0" w:line="240" w:lineRule="auto"/>
      </w:pPr>
      <w:r>
        <w:separator/>
      </w:r>
    </w:p>
  </w:endnote>
  <w:endnote w:type="continuationSeparator" w:id="0">
    <w:p w:rsidR="00780198" w:rsidRDefault="00780198" w:rsidP="00CF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8" w:rsidRDefault="00780198" w:rsidP="00CF7B99">
      <w:pPr>
        <w:spacing w:after="0" w:line="240" w:lineRule="auto"/>
      </w:pPr>
      <w:r>
        <w:separator/>
      </w:r>
    </w:p>
  </w:footnote>
  <w:footnote w:type="continuationSeparator" w:id="0">
    <w:p w:rsidR="00780198" w:rsidRDefault="00780198" w:rsidP="00CF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57" w:rsidRPr="00CF7B99" w:rsidRDefault="00747A57">
    <w:pPr>
      <w:pStyle w:val="a3"/>
      <w:jc w:val="center"/>
      <w:rPr>
        <w:sz w:val="28"/>
        <w:szCs w:val="28"/>
      </w:rPr>
    </w:pPr>
    <w:r w:rsidRPr="00CF7B99">
      <w:rPr>
        <w:sz w:val="28"/>
        <w:szCs w:val="28"/>
      </w:rPr>
      <w:fldChar w:fldCharType="begin"/>
    </w:r>
    <w:r w:rsidRPr="00CF7B99">
      <w:rPr>
        <w:sz w:val="28"/>
        <w:szCs w:val="28"/>
      </w:rPr>
      <w:instrText>PAGE   \* MERGEFORMAT</w:instrText>
    </w:r>
    <w:r w:rsidRPr="00CF7B99">
      <w:rPr>
        <w:sz w:val="28"/>
        <w:szCs w:val="28"/>
      </w:rPr>
      <w:fldChar w:fldCharType="separate"/>
    </w:r>
    <w:r w:rsidR="00744A72">
      <w:rPr>
        <w:noProof/>
        <w:sz w:val="28"/>
        <w:szCs w:val="28"/>
      </w:rPr>
      <w:t>13</w:t>
    </w:r>
    <w:r w:rsidRPr="00CF7B9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70"/>
    <w:multiLevelType w:val="hybridMultilevel"/>
    <w:tmpl w:val="1E04CAE4"/>
    <w:lvl w:ilvl="0" w:tplc="6CB8589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25D"/>
    <w:multiLevelType w:val="hybridMultilevel"/>
    <w:tmpl w:val="23548E94"/>
    <w:lvl w:ilvl="0" w:tplc="048848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053C"/>
    <w:multiLevelType w:val="hybridMultilevel"/>
    <w:tmpl w:val="17128B40"/>
    <w:lvl w:ilvl="0" w:tplc="FAEE0B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247FF"/>
    <w:multiLevelType w:val="hybridMultilevel"/>
    <w:tmpl w:val="50AE8B1C"/>
    <w:lvl w:ilvl="0" w:tplc="484A913C">
      <w:start w:val="3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6E8C4924"/>
    <w:multiLevelType w:val="hybridMultilevel"/>
    <w:tmpl w:val="8F1CB2CC"/>
    <w:lvl w:ilvl="0" w:tplc="38C08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9"/>
    <w:rsid w:val="000046E8"/>
    <w:rsid w:val="0000701E"/>
    <w:rsid w:val="00013812"/>
    <w:rsid w:val="00021C18"/>
    <w:rsid w:val="000548BF"/>
    <w:rsid w:val="00055A71"/>
    <w:rsid w:val="00062717"/>
    <w:rsid w:val="00063E7E"/>
    <w:rsid w:val="00072D0A"/>
    <w:rsid w:val="000E13EA"/>
    <w:rsid w:val="000E2EE2"/>
    <w:rsid w:val="000F286B"/>
    <w:rsid w:val="001510DF"/>
    <w:rsid w:val="00171E5B"/>
    <w:rsid w:val="00177676"/>
    <w:rsid w:val="001807A0"/>
    <w:rsid w:val="001F1AA8"/>
    <w:rsid w:val="001F2AFF"/>
    <w:rsid w:val="00217222"/>
    <w:rsid w:val="0024461F"/>
    <w:rsid w:val="00244D09"/>
    <w:rsid w:val="00250207"/>
    <w:rsid w:val="002508FC"/>
    <w:rsid w:val="00256880"/>
    <w:rsid w:val="00272D51"/>
    <w:rsid w:val="002A4C5F"/>
    <w:rsid w:val="002D0D13"/>
    <w:rsid w:val="002D69D6"/>
    <w:rsid w:val="002E0147"/>
    <w:rsid w:val="002E1125"/>
    <w:rsid w:val="002E34B6"/>
    <w:rsid w:val="002E7049"/>
    <w:rsid w:val="002F59B0"/>
    <w:rsid w:val="00310656"/>
    <w:rsid w:val="003223AC"/>
    <w:rsid w:val="00325713"/>
    <w:rsid w:val="00330722"/>
    <w:rsid w:val="00356CF4"/>
    <w:rsid w:val="00384EC7"/>
    <w:rsid w:val="003B15E9"/>
    <w:rsid w:val="003D4745"/>
    <w:rsid w:val="003D793E"/>
    <w:rsid w:val="00416D6D"/>
    <w:rsid w:val="004452B3"/>
    <w:rsid w:val="00450B4D"/>
    <w:rsid w:val="004606EE"/>
    <w:rsid w:val="004772D4"/>
    <w:rsid w:val="00493035"/>
    <w:rsid w:val="004942A3"/>
    <w:rsid w:val="004B465E"/>
    <w:rsid w:val="004C703D"/>
    <w:rsid w:val="004D2EB7"/>
    <w:rsid w:val="004F0416"/>
    <w:rsid w:val="004F4F60"/>
    <w:rsid w:val="00527832"/>
    <w:rsid w:val="0054699C"/>
    <w:rsid w:val="00547E92"/>
    <w:rsid w:val="005536E2"/>
    <w:rsid w:val="00555E34"/>
    <w:rsid w:val="0057678E"/>
    <w:rsid w:val="005C2363"/>
    <w:rsid w:val="0060251C"/>
    <w:rsid w:val="006233B9"/>
    <w:rsid w:val="00626E1C"/>
    <w:rsid w:val="00630C03"/>
    <w:rsid w:val="00633704"/>
    <w:rsid w:val="0063461A"/>
    <w:rsid w:val="006368A0"/>
    <w:rsid w:val="00655F8F"/>
    <w:rsid w:val="00663D05"/>
    <w:rsid w:val="006659EF"/>
    <w:rsid w:val="00680B99"/>
    <w:rsid w:val="006A4A1F"/>
    <w:rsid w:val="00732DDC"/>
    <w:rsid w:val="00744A72"/>
    <w:rsid w:val="00747A57"/>
    <w:rsid w:val="00771834"/>
    <w:rsid w:val="00772088"/>
    <w:rsid w:val="00780198"/>
    <w:rsid w:val="00780A1C"/>
    <w:rsid w:val="00780EAE"/>
    <w:rsid w:val="007900A4"/>
    <w:rsid w:val="007B0483"/>
    <w:rsid w:val="007F3EF3"/>
    <w:rsid w:val="00827CD9"/>
    <w:rsid w:val="008463FD"/>
    <w:rsid w:val="00865053"/>
    <w:rsid w:val="00882E1C"/>
    <w:rsid w:val="008C2016"/>
    <w:rsid w:val="008C7FB8"/>
    <w:rsid w:val="008D67E8"/>
    <w:rsid w:val="009363F6"/>
    <w:rsid w:val="009B0E3B"/>
    <w:rsid w:val="009B6660"/>
    <w:rsid w:val="009C0946"/>
    <w:rsid w:val="009F06AD"/>
    <w:rsid w:val="009F3C23"/>
    <w:rsid w:val="00A30543"/>
    <w:rsid w:val="00A6576E"/>
    <w:rsid w:val="00A70A6F"/>
    <w:rsid w:val="00A847BC"/>
    <w:rsid w:val="00A858EA"/>
    <w:rsid w:val="00AA5DBB"/>
    <w:rsid w:val="00B25E39"/>
    <w:rsid w:val="00B4147F"/>
    <w:rsid w:val="00B655A8"/>
    <w:rsid w:val="00B81931"/>
    <w:rsid w:val="00B842C4"/>
    <w:rsid w:val="00B853FD"/>
    <w:rsid w:val="00B97625"/>
    <w:rsid w:val="00BA5FF8"/>
    <w:rsid w:val="00BE5B2B"/>
    <w:rsid w:val="00BE5CE4"/>
    <w:rsid w:val="00C23939"/>
    <w:rsid w:val="00CF2C7A"/>
    <w:rsid w:val="00CF7B99"/>
    <w:rsid w:val="00D040E9"/>
    <w:rsid w:val="00D54AF5"/>
    <w:rsid w:val="00D62C46"/>
    <w:rsid w:val="00D80A63"/>
    <w:rsid w:val="00DB2609"/>
    <w:rsid w:val="00DF699D"/>
    <w:rsid w:val="00DF798C"/>
    <w:rsid w:val="00E05285"/>
    <w:rsid w:val="00E10BF3"/>
    <w:rsid w:val="00E54D28"/>
    <w:rsid w:val="00E60FA1"/>
    <w:rsid w:val="00E67338"/>
    <w:rsid w:val="00EC465B"/>
    <w:rsid w:val="00F0766C"/>
    <w:rsid w:val="00F25670"/>
    <w:rsid w:val="00FA0C08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D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44D0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E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FF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6CF4"/>
    <w:rPr>
      <w:i/>
      <w:iCs/>
    </w:rPr>
  </w:style>
  <w:style w:type="paragraph" w:styleId="ab">
    <w:name w:val="List Paragraph"/>
    <w:basedOn w:val="a"/>
    <w:uiPriority w:val="34"/>
    <w:qFormat/>
    <w:rsid w:val="000E13EA"/>
    <w:pPr>
      <w:ind w:left="720"/>
      <w:contextualSpacing/>
    </w:pPr>
  </w:style>
  <w:style w:type="paragraph" w:customStyle="1" w:styleId="1">
    <w:name w:val="Текст1"/>
    <w:basedOn w:val="a"/>
    <w:link w:val="10"/>
    <w:qFormat/>
    <w:rsid w:val="009B0E3B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Текст1 Знак"/>
    <w:link w:val="1"/>
    <w:rsid w:val="009B0E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7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71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D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44D0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E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FF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6CF4"/>
    <w:rPr>
      <w:i/>
      <w:iCs/>
    </w:rPr>
  </w:style>
  <w:style w:type="paragraph" w:styleId="ab">
    <w:name w:val="List Paragraph"/>
    <w:basedOn w:val="a"/>
    <w:uiPriority w:val="34"/>
    <w:qFormat/>
    <w:rsid w:val="000E13EA"/>
    <w:pPr>
      <w:ind w:left="720"/>
      <w:contextualSpacing/>
    </w:pPr>
  </w:style>
  <w:style w:type="paragraph" w:customStyle="1" w:styleId="1">
    <w:name w:val="Текст1"/>
    <w:basedOn w:val="a"/>
    <w:link w:val="10"/>
    <w:qFormat/>
    <w:rsid w:val="009B0E3B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Текст1 Знак"/>
    <w:link w:val="1"/>
    <w:rsid w:val="009B0E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7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7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hodos@mkrad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user373c</dc:creator>
  <cp:lastModifiedBy>user265e</cp:lastModifiedBy>
  <cp:revision>9</cp:revision>
  <cp:lastPrinted>2021-12-03T09:55:00Z</cp:lastPrinted>
  <dcterms:created xsi:type="dcterms:W3CDTF">2021-11-09T08:22:00Z</dcterms:created>
  <dcterms:modified xsi:type="dcterms:W3CDTF">2021-12-03T10:01:00Z</dcterms:modified>
</cp:coreProperties>
</file>