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83EEC" w14:textId="20E5E10D" w:rsidR="00EC436D" w:rsidRPr="00705FB9" w:rsidRDefault="00705FB9">
      <w:pPr>
        <w:pStyle w:val="20"/>
        <w:shd w:val="clear" w:color="auto" w:fill="auto"/>
        <w:spacing w:line="319" w:lineRule="exact"/>
        <w:ind w:firstLine="840"/>
        <w:jc w:val="both"/>
        <w:rPr>
          <w:b/>
          <w:bCs/>
        </w:rPr>
      </w:pPr>
      <w:r w:rsidRPr="00705FB9">
        <w:rPr>
          <w:b/>
          <w:bCs/>
        </w:rPr>
        <w:t xml:space="preserve">Звіт про роботу </w:t>
      </w:r>
      <w:r w:rsidRPr="00705FB9">
        <w:rPr>
          <w:b/>
          <w:bCs/>
        </w:rPr>
        <w:t>відділ</w:t>
      </w:r>
      <w:r w:rsidRPr="00705FB9">
        <w:rPr>
          <w:b/>
          <w:bCs/>
        </w:rPr>
        <w:t>у</w:t>
      </w:r>
      <w:r w:rsidRPr="00705FB9">
        <w:rPr>
          <w:b/>
          <w:bCs/>
        </w:rPr>
        <w:t xml:space="preserve"> з організації оборонної та мобілізаційної роботи та взаємодії з правоохоронними органами Миколаївської міської ради</w:t>
      </w:r>
      <w:r w:rsidRPr="00705FB9">
        <w:rPr>
          <w:b/>
          <w:bCs/>
        </w:rPr>
        <w:t xml:space="preserve"> </w:t>
      </w:r>
      <w:r w:rsidR="00000000" w:rsidRPr="00705FB9">
        <w:rPr>
          <w:b/>
          <w:bCs/>
        </w:rPr>
        <w:t xml:space="preserve"> за 11 місяців </w:t>
      </w:r>
      <w:r w:rsidRPr="00705FB9">
        <w:rPr>
          <w:b/>
          <w:bCs/>
        </w:rPr>
        <w:t>2024</w:t>
      </w:r>
      <w:r w:rsidR="00000000" w:rsidRPr="00705FB9">
        <w:rPr>
          <w:b/>
          <w:bCs/>
        </w:rPr>
        <w:t xml:space="preserve"> року</w:t>
      </w:r>
      <w:r w:rsidRPr="00705FB9">
        <w:rPr>
          <w:b/>
          <w:bCs/>
        </w:rPr>
        <w:t xml:space="preserve"> в</w:t>
      </w:r>
      <w:r w:rsidR="00000000" w:rsidRPr="00705FB9">
        <w:rPr>
          <w:b/>
          <w:bCs/>
        </w:rPr>
        <w:t xml:space="preserve"> сфері оборонної та мобілізаційної роботи.</w:t>
      </w:r>
    </w:p>
    <w:p w14:paraId="0A658202" w14:textId="77777777" w:rsidR="00705FB9" w:rsidRDefault="00705FB9">
      <w:pPr>
        <w:pStyle w:val="20"/>
        <w:shd w:val="clear" w:color="auto" w:fill="auto"/>
        <w:spacing w:line="319" w:lineRule="exact"/>
        <w:ind w:firstLine="840"/>
        <w:jc w:val="both"/>
      </w:pPr>
    </w:p>
    <w:p w14:paraId="761BA751" w14:textId="77777777" w:rsidR="00705FB9" w:rsidRDefault="00705FB9">
      <w:pPr>
        <w:pStyle w:val="20"/>
        <w:shd w:val="clear" w:color="auto" w:fill="auto"/>
        <w:spacing w:line="319" w:lineRule="exact"/>
        <w:ind w:firstLine="840"/>
        <w:jc w:val="both"/>
      </w:pPr>
    </w:p>
    <w:p w14:paraId="3242BA47" w14:textId="0EB66C74" w:rsidR="00EC436D" w:rsidRDefault="00000000">
      <w:pPr>
        <w:pStyle w:val="20"/>
        <w:shd w:val="clear" w:color="auto" w:fill="auto"/>
        <w:spacing w:line="319" w:lineRule="exact"/>
        <w:ind w:firstLine="840"/>
        <w:jc w:val="both"/>
      </w:pPr>
      <w:r>
        <w:t>Відділ</w:t>
      </w:r>
      <w:r w:rsidR="00705FB9">
        <w:t xml:space="preserve"> </w:t>
      </w:r>
      <w:r w:rsidR="00705FB9">
        <w:t>з організації оборонної та мобілізаційної роботи та взаємодії з правоохоронними органами Миколаївської міської ради</w:t>
      </w:r>
      <w:r w:rsidR="00705FB9">
        <w:t xml:space="preserve"> </w:t>
      </w:r>
      <w:r w:rsidR="00705FB9">
        <w:t>(далі- Відділ)</w:t>
      </w:r>
      <w:r w:rsidR="00705FB9">
        <w:t xml:space="preserve"> </w:t>
      </w:r>
      <w:r>
        <w:t>є відповідальним виконавцем Програми «Сприяння оборонній і мобілізаційній готовності міста Миколаєва на 2021-2024 роки» (далі- Програма), затвердженої рішенням міської ради від 21.12.2020 №2/19 (зі змінами та доповненнями). З метою відсічі збройної агресії Російської Федерації проти України і забезпечення національної безпеки, усунення загрози небезпеки державної незалежності України, її територіальної цілісності, у тому числі заходи з територіальної оборони, протягом звітного періоду відділом підготовлено 13 рішень виконавчого комітету Миколаївської міської ради та 3 рішення Миколаївської міської ради про внесення змін та доповнень до Програми.</w:t>
      </w:r>
    </w:p>
    <w:p w14:paraId="44F107C4" w14:textId="77777777" w:rsidR="00EC436D" w:rsidRDefault="00000000">
      <w:pPr>
        <w:pStyle w:val="20"/>
        <w:shd w:val="clear" w:color="auto" w:fill="auto"/>
        <w:spacing w:line="319" w:lineRule="exact"/>
        <w:ind w:firstLine="840"/>
        <w:jc w:val="both"/>
      </w:pPr>
      <w:r>
        <w:t>Результати виконання Програми:</w:t>
      </w:r>
    </w:p>
    <w:p w14:paraId="6DC3B91A" w14:textId="77777777" w:rsidR="00EC436D" w:rsidRDefault="00000000">
      <w:pPr>
        <w:pStyle w:val="20"/>
        <w:numPr>
          <w:ilvl w:val="0"/>
          <w:numId w:val="1"/>
        </w:numPr>
        <w:shd w:val="clear" w:color="auto" w:fill="auto"/>
        <w:tabs>
          <w:tab w:val="left" w:pos="730"/>
        </w:tabs>
        <w:spacing w:line="319" w:lineRule="exact"/>
        <w:ind w:firstLine="400"/>
        <w:jc w:val="both"/>
      </w:pPr>
      <w:r>
        <w:t xml:space="preserve">надано субвенцію з місцевого бюджету державному бюджету для потреб військових частин, державних організацій (установ, закладів)- 58294,884,0 </w:t>
      </w:r>
      <w:proofErr w:type="spellStart"/>
      <w:r>
        <w:t>тис.грн</w:t>
      </w:r>
      <w:proofErr w:type="spellEnd"/>
      <w:r>
        <w:t>.,</w:t>
      </w:r>
    </w:p>
    <w:p w14:paraId="08A0FE8E" w14:textId="77777777" w:rsidR="00EC436D" w:rsidRDefault="00000000">
      <w:pPr>
        <w:pStyle w:val="20"/>
        <w:numPr>
          <w:ilvl w:val="0"/>
          <w:numId w:val="1"/>
        </w:numPr>
        <w:shd w:val="clear" w:color="auto" w:fill="auto"/>
        <w:tabs>
          <w:tab w:val="left" w:pos="730"/>
        </w:tabs>
        <w:spacing w:line="319" w:lineRule="exact"/>
        <w:ind w:firstLine="400"/>
        <w:jc w:val="both"/>
      </w:pPr>
      <w:r>
        <w:t xml:space="preserve">виділено фінансування для потреб районних територіальних центрів комплектування та соціальної підтримки -1000,0 </w:t>
      </w:r>
      <w:proofErr w:type="spellStart"/>
      <w:r>
        <w:t>тис.грн</w:t>
      </w:r>
      <w:proofErr w:type="spellEnd"/>
      <w:r>
        <w:t>.,</w:t>
      </w:r>
    </w:p>
    <w:p w14:paraId="2352347A" w14:textId="77777777" w:rsidR="00EC436D" w:rsidRDefault="00000000">
      <w:pPr>
        <w:pStyle w:val="20"/>
        <w:numPr>
          <w:ilvl w:val="0"/>
          <w:numId w:val="1"/>
        </w:numPr>
        <w:shd w:val="clear" w:color="auto" w:fill="auto"/>
        <w:tabs>
          <w:tab w:val="left" w:pos="730"/>
        </w:tabs>
        <w:spacing w:line="319" w:lineRule="exact"/>
        <w:ind w:firstLine="400"/>
        <w:jc w:val="both"/>
      </w:pPr>
      <w:r>
        <w:t xml:space="preserve">організація харчування підрозділів територіальної оборони - 14815,0 </w:t>
      </w:r>
      <w:proofErr w:type="spellStart"/>
      <w:r>
        <w:t>тис.грн</w:t>
      </w:r>
      <w:proofErr w:type="spellEnd"/>
      <w:r>
        <w:t>.,</w:t>
      </w:r>
    </w:p>
    <w:p w14:paraId="23B3EA37" w14:textId="77777777" w:rsidR="00EC436D" w:rsidRDefault="00000000">
      <w:pPr>
        <w:pStyle w:val="20"/>
        <w:numPr>
          <w:ilvl w:val="0"/>
          <w:numId w:val="1"/>
        </w:numPr>
        <w:shd w:val="clear" w:color="auto" w:fill="auto"/>
        <w:tabs>
          <w:tab w:val="left" w:pos="730"/>
        </w:tabs>
        <w:spacing w:after="699" w:line="319" w:lineRule="exact"/>
        <w:ind w:firstLine="400"/>
        <w:jc w:val="both"/>
      </w:pPr>
      <w:r>
        <w:t xml:space="preserve">матеріально-технічне забезпечення ТРО м. Миколаєва - 7647,2 </w:t>
      </w:r>
      <w:proofErr w:type="spellStart"/>
      <w:r>
        <w:t>тис.грн</w:t>
      </w:r>
      <w:proofErr w:type="spellEnd"/>
      <w:r>
        <w:t>.</w:t>
      </w:r>
    </w:p>
    <w:p w14:paraId="5F1B86C4" w14:textId="77777777" w:rsidR="00EC436D" w:rsidRDefault="00000000">
      <w:pPr>
        <w:pStyle w:val="20"/>
        <w:shd w:val="clear" w:color="auto" w:fill="auto"/>
        <w:spacing w:line="319" w:lineRule="exact"/>
        <w:ind w:firstLine="440"/>
        <w:jc w:val="both"/>
      </w:pPr>
      <w:r>
        <w:t>Виконання заходів національного супротиву місцевого значення профінансоване у межах відповідних видатків.</w:t>
      </w:r>
    </w:p>
    <w:p w14:paraId="3E0E089C" w14:textId="77777777" w:rsidR="00EC436D" w:rsidRDefault="00000000">
      <w:pPr>
        <w:pStyle w:val="20"/>
        <w:shd w:val="clear" w:color="auto" w:fill="auto"/>
        <w:spacing w:line="319" w:lineRule="exact"/>
        <w:ind w:firstLine="440"/>
        <w:jc w:val="both"/>
      </w:pPr>
      <w:r>
        <w:t>Для забезпечення надання субвенції на матеріально - технічне оснащення з бюджету Миколаївської міської територіальної громади державному бюджету укладено 18 договорів з військовими частинами, державними організаціями (установами, закладами), які здійснюють діяльність в сфері оборони та/або безпеки.</w:t>
      </w:r>
    </w:p>
    <w:p w14:paraId="3B6D28BB" w14:textId="77777777" w:rsidR="00EC436D" w:rsidRDefault="00000000">
      <w:pPr>
        <w:pStyle w:val="20"/>
        <w:shd w:val="clear" w:color="auto" w:fill="auto"/>
        <w:spacing w:line="319" w:lineRule="exact"/>
        <w:ind w:firstLine="440"/>
        <w:jc w:val="both"/>
      </w:pPr>
      <w:r>
        <w:t xml:space="preserve">Відділом проводиться робота щодо відновлення та розроблення документів з мобілізаційних питань з грифом з обмеженим доступом (мобілізаційний план міста, план НЗН, план взаємодії, інші). Протягом звітного періоду відділом відпрацьовано та зареєстровано 54 документи з грифом </w:t>
      </w:r>
      <w:proofErr w:type="spellStart"/>
      <w:r>
        <w:t>дск</w:t>
      </w:r>
      <w:proofErr w:type="spellEnd"/>
      <w:r>
        <w:t xml:space="preserve"> Літер «М».</w:t>
      </w:r>
    </w:p>
    <w:p w14:paraId="65C06287" w14:textId="77777777" w:rsidR="00EC436D" w:rsidRDefault="00000000">
      <w:pPr>
        <w:pStyle w:val="20"/>
        <w:shd w:val="clear" w:color="auto" w:fill="auto"/>
        <w:spacing w:line="319" w:lineRule="exact"/>
        <w:ind w:firstLine="440"/>
        <w:jc w:val="both"/>
      </w:pPr>
      <w:r>
        <w:t>Відповідно до Закону «Про мобілізаційну підготовку та мобілізацію», на підставі розпоряджень Миколаївської обласної державної адміністрації у звітному періоді підготовлено 9 розпоряджень Миколаївського міського голови про встановлення мобілізаційних завдань (Замовлень) підприємствам, установам, організаціям різних форм власності та укладено 24 договори на виконання встановлених мобілізаційних завдань.</w:t>
      </w:r>
    </w:p>
    <w:p w14:paraId="2090B1A8" w14:textId="77777777" w:rsidR="00EC436D" w:rsidRDefault="00000000">
      <w:pPr>
        <w:pStyle w:val="20"/>
        <w:shd w:val="clear" w:color="auto" w:fill="auto"/>
        <w:spacing w:line="319" w:lineRule="exact"/>
        <w:ind w:firstLine="440"/>
        <w:jc w:val="both"/>
      </w:pPr>
      <w:r>
        <w:t xml:space="preserve">Відповідно до постанови КМУ від 27.01.2023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Відділом організовується робота щодо бронювання військовозобов’язаних на </w:t>
      </w:r>
      <w:r>
        <w:lastRenderedPageBreak/>
        <w:t>підприємствах, організаціях, яким встановлені мобілізаційні завдання (замовлення).</w:t>
      </w:r>
    </w:p>
    <w:p w14:paraId="69FC40FC" w14:textId="77777777" w:rsidR="00EC436D" w:rsidRDefault="00000000">
      <w:pPr>
        <w:pStyle w:val="20"/>
        <w:shd w:val="clear" w:color="auto" w:fill="auto"/>
        <w:spacing w:line="319" w:lineRule="exact"/>
        <w:ind w:firstLine="440"/>
        <w:jc w:val="both"/>
      </w:pPr>
      <w:r>
        <w:t>Відповідно до Порядку організації та ведення військового обліку призовників, військовозобов’язаних та резервістів, затвердженого постановою КМУ від 30 грудня 2022 р. №1487, з метою забезпечення належної організації та ведення військового обліку призовників, військовозобов’язаних і резервістів та бронювання військовозобов’язаних на території міста Миколаєва, Відділом підготовлено розпорядження виконавчого комітету Миколаївської міської ради від 08.01.2024 № 6р «Про стан роботи з військового обліку на території міста Миколаєва у 2023 році та завдання щодо поліпшення у 2024 році», та 5 розпоряджень із внесенням змін до нього, чим вдосконалено відповідні заходи щодо забезпечення функціонування системи військового обліку. За звітний період комісіями з питань перевірки військового обліку перевірено 120 підприємств, установ та організацій різних форм власності.</w:t>
      </w:r>
    </w:p>
    <w:p w14:paraId="0D560447" w14:textId="77777777" w:rsidR="00EC436D" w:rsidRDefault="00000000">
      <w:pPr>
        <w:pStyle w:val="20"/>
        <w:shd w:val="clear" w:color="auto" w:fill="auto"/>
        <w:spacing w:after="899" w:line="319" w:lineRule="exact"/>
        <w:ind w:firstLine="440"/>
        <w:jc w:val="both"/>
      </w:pPr>
      <w:r>
        <w:t>З метою проведення медичного огляду громадян, які підлягають призову під час мобілізації, призову на військову службу за контрактом, призову на військову службу осіб з числа іноземців або осіб без громадянства до Збройних Сил України та інших формувань України у 2024 році, які зараховуються або</w:t>
      </w:r>
    </w:p>
    <w:p w14:paraId="7A1F7FC4" w14:textId="77777777" w:rsidR="00EC436D" w:rsidRDefault="00000000">
      <w:pPr>
        <w:pStyle w:val="20"/>
        <w:shd w:val="clear" w:color="auto" w:fill="auto"/>
        <w:spacing w:line="319" w:lineRule="exact"/>
        <w:jc w:val="both"/>
      </w:pPr>
      <w:r>
        <w:t>перебувають на службі у військовому резерві Збройних Сил України та інших військових формувань, Відділом підготовлено рішення виконавчого комітету Миколаївської міської ради від 14 лютого 2024 № 230 «Про позаштатні постійно діючі військово лікарські комісії районних територіальних центрів комплектування та соціальної підтримки м. Миколаєва на 2024 рік».</w:t>
      </w:r>
    </w:p>
    <w:p w14:paraId="25758208" w14:textId="77777777" w:rsidR="00EC436D" w:rsidRDefault="00000000">
      <w:pPr>
        <w:pStyle w:val="20"/>
        <w:shd w:val="clear" w:color="auto" w:fill="auto"/>
        <w:spacing w:line="319" w:lineRule="exact"/>
        <w:ind w:firstLine="440"/>
        <w:jc w:val="both"/>
      </w:pPr>
      <w:r>
        <w:t>Відділом підготовлено 3 розпорядження міського голови щодо відпрацювання посадовими особами виконкому документів з обмеженим доступом.</w:t>
      </w:r>
    </w:p>
    <w:p w14:paraId="280A4240" w14:textId="77777777" w:rsidR="00EC436D" w:rsidRDefault="00000000">
      <w:pPr>
        <w:pStyle w:val="20"/>
        <w:shd w:val="clear" w:color="auto" w:fill="auto"/>
        <w:spacing w:line="319" w:lineRule="exact"/>
        <w:ind w:firstLine="440"/>
        <w:jc w:val="both"/>
      </w:pPr>
      <w:r>
        <w:t>В сфері правоохоронної діяльності.</w:t>
      </w:r>
    </w:p>
    <w:p w14:paraId="2C9C66D2" w14:textId="77777777" w:rsidR="00EC436D" w:rsidRDefault="00000000">
      <w:pPr>
        <w:pStyle w:val="20"/>
        <w:shd w:val="clear" w:color="auto" w:fill="auto"/>
        <w:spacing w:line="319" w:lineRule="exact"/>
        <w:ind w:firstLine="440"/>
        <w:jc w:val="both"/>
      </w:pPr>
      <w:r>
        <w:t>Відділ є відповідальним виконавцем Програми «Сприяння діяльності правоохоронних органів на території міста Миколаєва на 2020-2024 роки» (далі-Програма), затвердженої рішенням міської ради від 20.12.2019 №56/64 (зі змінами та доповненнями).</w:t>
      </w:r>
    </w:p>
    <w:p w14:paraId="07214A67" w14:textId="77777777" w:rsidR="00EC436D" w:rsidRDefault="00000000">
      <w:pPr>
        <w:pStyle w:val="20"/>
        <w:shd w:val="clear" w:color="auto" w:fill="auto"/>
        <w:spacing w:line="319" w:lineRule="exact"/>
        <w:ind w:firstLine="440"/>
        <w:jc w:val="both"/>
      </w:pPr>
      <w:r>
        <w:t>Результати виконання Програми:</w:t>
      </w:r>
    </w:p>
    <w:p w14:paraId="2330092B" w14:textId="77777777" w:rsidR="00EC436D" w:rsidRDefault="00000000">
      <w:pPr>
        <w:pStyle w:val="20"/>
        <w:shd w:val="clear" w:color="auto" w:fill="auto"/>
        <w:spacing w:line="319" w:lineRule="exact"/>
        <w:ind w:firstLine="440"/>
        <w:jc w:val="both"/>
      </w:pPr>
      <w:r>
        <w:t xml:space="preserve">На виконання заходів зазначеної Програми було виділено адміністраціям районів 300,0 тис. грн. на виготовлення </w:t>
      </w:r>
      <w:proofErr w:type="spellStart"/>
      <w:r>
        <w:t>проєктно</w:t>
      </w:r>
      <w:proofErr w:type="spellEnd"/>
      <w:r>
        <w:t>-кошторисної документації та підключення електроенергії на поліцейські станції за адресами:</w:t>
      </w:r>
    </w:p>
    <w:p w14:paraId="04DC6F7F" w14:textId="77777777" w:rsidR="00EC436D" w:rsidRDefault="00000000">
      <w:pPr>
        <w:pStyle w:val="20"/>
        <w:shd w:val="clear" w:color="auto" w:fill="auto"/>
        <w:spacing w:line="319" w:lineRule="exact"/>
        <w:jc w:val="both"/>
      </w:pPr>
      <w:r>
        <w:t xml:space="preserve">-вул. </w:t>
      </w:r>
      <w:proofErr w:type="spellStart"/>
      <w:r>
        <w:t>Казарського</w:t>
      </w:r>
      <w:proofErr w:type="spellEnd"/>
      <w:r>
        <w:t>, 1А;</w:t>
      </w:r>
    </w:p>
    <w:p w14:paraId="17AE0972" w14:textId="77777777" w:rsidR="00EC436D" w:rsidRDefault="00000000">
      <w:pPr>
        <w:pStyle w:val="20"/>
        <w:shd w:val="clear" w:color="auto" w:fill="auto"/>
        <w:spacing w:line="319" w:lineRule="exact"/>
        <w:jc w:val="both"/>
      </w:pPr>
      <w:r>
        <w:t xml:space="preserve">-вул. </w:t>
      </w:r>
      <w:proofErr w:type="spellStart"/>
      <w:r>
        <w:t>Шкапіна</w:t>
      </w:r>
      <w:proofErr w:type="spellEnd"/>
      <w:r>
        <w:t>, 87;</w:t>
      </w:r>
    </w:p>
    <w:p w14:paraId="0AAD17A2" w14:textId="77777777" w:rsidR="00EC436D" w:rsidRDefault="00000000">
      <w:pPr>
        <w:pStyle w:val="20"/>
        <w:shd w:val="clear" w:color="auto" w:fill="auto"/>
        <w:spacing w:line="319" w:lineRule="exact"/>
        <w:jc w:val="both"/>
      </w:pPr>
      <w:r>
        <w:t>-пр-т. Центральний, 152.</w:t>
      </w:r>
    </w:p>
    <w:p w14:paraId="2D7064B0" w14:textId="77777777" w:rsidR="00EC436D" w:rsidRDefault="00000000">
      <w:pPr>
        <w:pStyle w:val="20"/>
        <w:shd w:val="clear" w:color="auto" w:fill="auto"/>
        <w:spacing w:line="319" w:lineRule="exact"/>
        <w:ind w:firstLine="440"/>
        <w:jc w:val="both"/>
      </w:pPr>
      <w:r>
        <w:t xml:space="preserve">З метою своєчасного реагування поліцейських офіцерів громади на повідомлення громадян, виділено Головному управлінню Національної поліції в Миколаївській області для впровадження проєкту «Поліцейський офіцер громади» субвенцію з місцевого бюджету в сумі 1000,0 тис. грн. З них: 790,0 тис. грн. на придбання пального для службових автомобілів поліцейських офіцерів громади, автомобільних сейфів (металевих ящиків) для зберігання зброї, оплати послуг зі встановлення світлодіодних панель-балок з сигнально-гучномовними установками та </w:t>
      </w:r>
      <w:proofErr w:type="spellStart"/>
      <w:r>
        <w:t>брендування</w:t>
      </w:r>
      <w:proofErr w:type="spellEnd"/>
      <w:r>
        <w:t xml:space="preserve"> службових автомобілів, послуг з </w:t>
      </w:r>
      <w:r>
        <w:lastRenderedPageBreak/>
        <w:t xml:space="preserve">технічного переоснащення електричних мереж електрозабезпечення приміщення поліцейської станції та 210,0 тис. грн. на придбання обладнання спеціального призначення (світлодіодних панель- балок з сигнально-гучномовними установками, </w:t>
      </w:r>
      <w:proofErr w:type="spellStart"/>
      <w:r>
        <w:t>алкотестерів</w:t>
      </w:r>
      <w:proofErr w:type="spellEnd"/>
      <w:r>
        <w:t>).</w:t>
      </w:r>
    </w:p>
    <w:p w14:paraId="4BD38EAD" w14:textId="77777777" w:rsidR="00EC436D" w:rsidRDefault="00000000">
      <w:pPr>
        <w:pStyle w:val="20"/>
        <w:shd w:val="clear" w:color="auto" w:fill="auto"/>
        <w:spacing w:after="627" w:line="319" w:lineRule="exact"/>
        <w:ind w:firstLine="440"/>
        <w:jc w:val="both"/>
      </w:pPr>
      <w:r>
        <w:t>Відділ постійно взаємодіє з правоохоронними органами для забезпечення громадського порядку на території міста Миколаєва.</w:t>
      </w:r>
    </w:p>
    <w:sectPr w:rsidR="00EC436D">
      <w:footerReference w:type="default" r:id="rId7"/>
      <w:pgSz w:w="11900" w:h="16840"/>
      <w:pgMar w:top="1022" w:right="813" w:bottom="209" w:left="166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6F853" w14:textId="77777777" w:rsidR="003B28EE" w:rsidRDefault="003B28EE">
      <w:r>
        <w:separator/>
      </w:r>
    </w:p>
  </w:endnote>
  <w:endnote w:type="continuationSeparator" w:id="0">
    <w:p w14:paraId="7142DE92" w14:textId="77777777" w:rsidR="003B28EE" w:rsidRDefault="003B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E501" w14:textId="044105E3" w:rsidR="00EC436D" w:rsidRDefault="00705FB9">
    <w:pPr>
      <w:rPr>
        <w:sz w:val="2"/>
        <w:szCs w:val="2"/>
      </w:rPr>
    </w:pPr>
    <w:r>
      <w:rPr>
        <w:noProof/>
      </w:rPr>
      <mc:AlternateContent>
        <mc:Choice Requires="wps">
          <w:drawing>
            <wp:anchor distT="0" distB="0" distL="63500" distR="63500" simplePos="0" relativeHeight="251657728" behindDoc="1" locked="0" layoutInCell="1" allowOverlap="1" wp14:anchorId="20B0BDA5" wp14:editId="4B75E0E1">
              <wp:simplePos x="0" y="0"/>
              <wp:positionH relativeFrom="page">
                <wp:posOffset>5027295</wp:posOffset>
              </wp:positionH>
              <wp:positionV relativeFrom="page">
                <wp:posOffset>10076815</wp:posOffset>
              </wp:positionV>
              <wp:extent cx="1859280" cy="139700"/>
              <wp:effectExtent l="0" t="0" r="0" b="3810"/>
              <wp:wrapNone/>
              <wp:docPr id="8978320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FA54D" w14:textId="77777777" w:rsidR="00EC436D" w:rsidRDefault="00000000">
                          <w:pPr>
                            <w:pStyle w:val="a4"/>
                            <w:shd w:val="clear" w:color="auto" w:fill="auto"/>
                            <w:spacing w:line="240" w:lineRule="auto"/>
                          </w:pPr>
                          <w:r>
                            <w:rPr>
                              <w:rStyle w:val="a5"/>
                            </w:rPr>
                            <w:t>№ 52803/02.12-06/24-2 від 28.11.2024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B0BDA5" id="_x0000_t202" coordsize="21600,21600" o:spt="202" path="m,l,21600r21600,l21600,xe">
              <v:stroke joinstyle="miter"/>
              <v:path gradientshapeok="t" o:connecttype="rect"/>
            </v:shapetype>
            <v:shape id="Text Box 1" o:spid="_x0000_s1026" type="#_x0000_t202" style="position:absolute;margin-left:395.85pt;margin-top:793.45pt;width:146.4pt;height:1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" filled="f" stroked="f">
              <v:textbox style="mso-fit-shape-to-text:t" inset="0,0,0,0">
                <w:txbxContent>
                  <w:p w14:paraId="21FFA54D" w14:textId="77777777" w:rsidR="00EC436D" w:rsidRDefault="00000000">
                    <w:pPr>
                      <w:pStyle w:val="a4"/>
                      <w:shd w:val="clear" w:color="auto" w:fill="auto"/>
                      <w:spacing w:line="240" w:lineRule="auto"/>
                    </w:pPr>
                    <w:r>
                      <w:rPr>
                        <w:rStyle w:val="a5"/>
                      </w:rPr>
                      <w:t>№ 52803/02.12-06/24-2 від 28.11.2024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29A70" w14:textId="77777777" w:rsidR="003B28EE" w:rsidRDefault="003B28EE"/>
  </w:footnote>
  <w:footnote w:type="continuationSeparator" w:id="0">
    <w:p w14:paraId="308394B5" w14:textId="77777777" w:rsidR="003B28EE" w:rsidRDefault="003B28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5EFB"/>
    <w:multiLevelType w:val="multilevel"/>
    <w:tmpl w:val="398E7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8335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6D"/>
    <w:rsid w:val="002F1EEC"/>
    <w:rsid w:val="003B28EE"/>
    <w:rsid w:val="00705FB9"/>
    <w:rsid w:val="00EC436D"/>
    <w:rsid w:val="00F02A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BE061"/>
  <w15:docId w15:val="{54AA87B8-4AA6-4968-B627-5E7B105C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Calibri" w:eastAsia="Calibri" w:hAnsi="Calibri" w:cs="Calibri"/>
      <w:b w:val="0"/>
      <w:bCs w:val="0"/>
      <w:i w:val="0"/>
      <w:iCs w:val="0"/>
      <w:smallCaps w:val="0"/>
      <w:strike w:val="0"/>
      <w:sz w:val="18"/>
      <w:szCs w:val="18"/>
      <w:u w:val="none"/>
    </w:rPr>
  </w:style>
  <w:style w:type="character" w:customStyle="1" w:styleId="a5">
    <w:name w:val="Колонтитул"/>
    <w:basedOn w:val="a3"/>
    <w:rPr>
      <w:rFonts w:ascii="Calibri" w:eastAsia="Calibri" w:hAnsi="Calibri" w:cs="Calibri"/>
      <w:b w:val="0"/>
      <w:bCs w:val="0"/>
      <w:i w:val="0"/>
      <w:iCs w:val="0"/>
      <w:smallCaps w:val="0"/>
      <w:strike w:val="0"/>
      <w:color w:val="000000"/>
      <w:spacing w:val="0"/>
      <w:w w:val="100"/>
      <w:position w:val="0"/>
      <w:sz w:val="18"/>
      <w:szCs w:val="18"/>
      <w:u w:val="none"/>
      <w:lang w:val="uk-UA" w:eastAsia="uk-UA" w:bidi="uk-UA"/>
    </w:rPr>
  </w:style>
  <w:style w:type="character" w:customStyle="1" w:styleId="Exact">
    <w:name w:val="Подпись к картинке Exact"/>
    <w:basedOn w:val="a0"/>
    <w:link w:val="a6"/>
    <w:rPr>
      <w:rFonts w:ascii="Calibri" w:eastAsia="Calibri" w:hAnsi="Calibri" w:cs="Calibri"/>
      <w:b w:val="0"/>
      <w:bCs w:val="0"/>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uk-UA" w:eastAsia="uk-UA" w:bidi="uk-UA"/>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4">
    <w:name w:val="Основной текст (4)_"/>
    <w:basedOn w:val="a0"/>
    <w:link w:val="40"/>
    <w:rPr>
      <w:rFonts w:ascii="Calibri" w:eastAsia="Calibri" w:hAnsi="Calibri" w:cs="Calibri"/>
      <w:b w:val="0"/>
      <w:bCs w:val="0"/>
      <w:i w:val="0"/>
      <w:iCs w:val="0"/>
      <w:smallCaps w:val="0"/>
      <w:strike w:val="0"/>
      <w:sz w:val="18"/>
      <w:szCs w:val="18"/>
      <w:u w:val="none"/>
    </w:rPr>
  </w:style>
  <w:style w:type="character" w:customStyle="1" w:styleId="41">
    <w:name w:val="Основной текст (4)"/>
    <w:basedOn w:val="4"/>
    <w:rPr>
      <w:rFonts w:ascii="Calibri" w:eastAsia="Calibri" w:hAnsi="Calibri" w:cs="Calibri"/>
      <w:b w:val="0"/>
      <w:bCs w:val="0"/>
      <w:i w:val="0"/>
      <w:iCs w:val="0"/>
      <w:smallCaps w:val="0"/>
      <w:strike w:val="0"/>
      <w:color w:val="000000"/>
      <w:spacing w:val="0"/>
      <w:w w:val="100"/>
      <w:position w:val="0"/>
      <w:sz w:val="18"/>
      <w:szCs w:val="18"/>
      <w:u w:val="single"/>
      <w:lang w:val="uk-UA" w:eastAsia="uk-UA" w:bidi="uk-UA"/>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paragraph" w:customStyle="1" w:styleId="a4">
    <w:name w:val="Колонтитул"/>
    <w:basedOn w:val="a"/>
    <w:link w:val="a3"/>
    <w:pPr>
      <w:shd w:val="clear" w:color="auto" w:fill="FFFFFF"/>
      <w:spacing w:line="220" w:lineRule="exact"/>
    </w:pPr>
    <w:rPr>
      <w:rFonts w:ascii="Calibri" w:eastAsia="Calibri" w:hAnsi="Calibri" w:cs="Calibri"/>
      <w:sz w:val="18"/>
      <w:szCs w:val="18"/>
    </w:rPr>
  </w:style>
  <w:style w:type="paragraph" w:customStyle="1" w:styleId="a6">
    <w:name w:val="Подпись к картинке"/>
    <w:basedOn w:val="a"/>
    <w:link w:val="Exact"/>
    <w:pPr>
      <w:shd w:val="clear" w:color="auto" w:fill="FFFFFF"/>
      <w:spacing w:line="220" w:lineRule="exact"/>
    </w:pPr>
    <w:rPr>
      <w:rFonts w:ascii="Calibri" w:eastAsia="Calibri" w:hAnsi="Calibri" w:cs="Calibri"/>
      <w:sz w:val="18"/>
      <w:szCs w:val="18"/>
    </w:rPr>
  </w:style>
  <w:style w:type="paragraph" w:customStyle="1" w:styleId="20">
    <w:name w:val="Основной текст (2)"/>
    <w:basedOn w:val="a"/>
    <w:link w:val="2"/>
    <w:pPr>
      <w:shd w:val="clear" w:color="auto" w:fill="FFFFFF"/>
      <w:spacing w:line="459"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120" w:line="276" w:lineRule="exact"/>
      <w:jc w:val="center"/>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620" w:after="120" w:line="220" w:lineRule="exact"/>
      <w:jc w:val="both"/>
    </w:pPr>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3890</Words>
  <Characters>2218</Characters>
  <Application>Microsoft Office Word</Application>
  <DocSecurity>0</DocSecurity>
  <Lines>18</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Атанасова Валентина</dc:creator>
  <cp:lastModifiedBy>Атанасова Валентина</cp:lastModifiedBy>
  <cp:revision>2</cp:revision>
  <dcterms:created xsi:type="dcterms:W3CDTF">2024-12-26T08:52:00Z</dcterms:created>
  <dcterms:modified xsi:type="dcterms:W3CDTF">2024-12-26T08:54:00Z</dcterms:modified>
</cp:coreProperties>
</file>