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A059" w14:textId="77777777" w:rsidR="004A24AA" w:rsidRPr="002F2A27" w:rsidRDefault="00766597" w:rsidP="002F2A27">
      <w:pPr>
        <w:jc w:val="both"/>
        <w:rPr>
          <w:sz w:val="20"/>
        </w:rPr>
      </w:pPr>
      <w:r w:rsidRPr="002F2A27">
        <w:rPr>
          <w:sz w:val="20"/>
        </w:rPr>
        <w:t>v</w:t>
      </w:r>
      <w:r w:rsidR="004A24AA" w:rsidRPr="002F2A27">
        <w:rPr>
          <w:sz w:val="20"/>
        </w:rPr>
        <w:t>-fk</w:t>
      </w:r>
      <w:r w:rsidR="0022659C" w:rsidRPr="002F2A27">
        <w:rPr>
          <w:sz w:val="20"/>
        </w:rPr>
        <w:t>-</w:t>
      </w:r>
      <w:r w:rsidR="003042FC" w:rsidRPr="002F2A27">
        <w:rPr>
          <w:sz w:val="20"/>
        </w:rPr>
        <w:t>099</w:t>
      </w:r>
    </w:p>
    <w:p w14:paraId="45AE39C4" w14:textId="77777777" w:rsidR="005E6560" w:rsidRPr="002F2A27" w:rsidRDefault="005E6560" w:rsidP="002F2A27">
      <w:pPr>
        <w:jc w:val="both"/>
      </w:pPr>
    </w:p>
    <w:p w14:paraId="47EB0053" w14:textId="77777777" w:rsidR="005E6560" w:rsidRPr="002F2A27" w:rsidRDefault="005E6560" w:rsidP="002F2A27">
      <w:pPr>
        <w:jc w:val="both"/>
      </w:pPr>
    </w:p>
    <w:p w14:paraId="1D784E1D" w14:textId="77777777" w:rsidR="005E6560" w:rsidRPr="002F2A27" w:rsidRDefault="005E6560" w:rsidP="002F2A27">
      <w:pPr>
        <w:jc w:val="both"/>
      </w:pPr>
    </w:p>
    <w:p w14:paraId="2B597FD5" w14:textId="77777777" w:rsidR="000D7767" w:rsidRPr="002F2A27" w:rsidRDefault="000D7767" w:rsidP="002F2A27">
      <w:pPr>
        <w:jc w:val="both"/>
      </w:pPr>
    </w:p>
    <w:p w14:paraId="2389EB4B" w14:textId="77777777" w:rsidR="000D7767" w:rsidRPr="002F2A27" w:rsidRDefault="000D7767" w:rsidP="002F2A27">
      <w:pPr>
        <w:jc w:val="both"/>
      </w:pPr>
    </w:p>
    <w:p w14:paraId="7D1458B6" w14:textId="77777777" w:rsidR="000D7767" w:rsidRPr="002F2A27" w:rsidRDefault="000D7767" w:rsidP="002F2A27">
      <w:pPr>
        <w:jc w:val="both"/>
      </w:pPr>
    </w:p>
    <w:p w14:paraId="109C2E5D" w14:textId="77777777" w:rsidR="002F2A27" w:rsidRDefault="002F2A27" w:rsidP="002F2A27">
      <w:pPr>
        <w:ind w:right="3684"/>
        <w:jc w:val="both"/>
      </w:pPr>
      <w:bookmarkStart w:id="0" w:name="_Hlk113897262"/>
    </w:p>
    <w:p w14:paraId="52AB5D28" w14:textId="77777777" w:rsidR="002F2A27" w:rsidRDefault="002F2A27" w:rsidP="002F2A27">
      <w:pPr>
        <w:ind w:right="3684"/>
        <w:jc w:val="both"/>
      </w:pPr>
    </w:p>
    <w:p w14:paraId="1321AA4A" w14:textId="77777777" w:rsidR="002F2A27" w:rsidRDefault="002F2A27" w:rsidP="002F2A27">
      <w:pPr>
        <w:ind w:right="3684"/>
        <w:jc w:val="both"/>
      </w:pPr>
    </w:p>
    <w:p w14:paraId="0D8E9BCC" w14:textId="77777777" w:rsidR="005E6560" w:rsidRPr="003A565E" w:rsidRDefault="001D7D0D" w:rsidP="002F2A27">
      <w:pPr>
        <w:ind w:right="3684"/>
        <w:jc w:val="both"/>
        <w:rPr>
          <w:szCs w:val="28"/>
        </w:rPr>
      </w:pPr>
      <w:r w:rsidRPr="003A565E">
        <w:rPr>
          <w:szCs w:val="28"/>
        </w:rPr>
        <w:t xml:space="preserve">Про визначення набувачів </w:t>
      </w:r>
      <w:r w:rsidR="00E3594A" w:rsidRPr="003A565E">
        <w:rPr>
          <w:szCs w:val="28"/>
        </w:rPr>
        <w:t>гуманітарної</w:t>
      </w:r>
      <w:r w:rsidR="002F2A27" w:rsidRPr="003A565E">
        <w:rPr>
          <w:szCs w:val="28"/>
        </w:rPr>
        <w:t xml:space="preserve"> </w:t>
      </w:r>
      <w:r w:rsidRPr="003A565E">
        <w:rPr>
          <w:szCs w:val="28"/>
        </w:rPr>
        <w:t xml:space="preserve">допомоги між виконавчими органами та комунальними підприємствами Миколаївської міської ради, отриманої від </w:t>
      </w:r>
      <w:r w:rsidR="002D5BFD" w:rsidRPr="003A565E">
        <w:rPr>
          <w:szCs w:val="28"/>
        </w:rPr>
        <w:t>Празького Магістрату</w:t>
      </w:r>
    </w:p>
    <w:bookmarkEnd w:id="0"/>
    <w:p w14:paraId="32FB9C74" w14:textId="77777777" w:rsidR="005E6560" w:rsidRPr="002F2A27" w:rsidRDefault="005E6560" w:rsidP="002F2A27">
      <w:pPr>
        <w:jc w:val="both"/>
        <w:rPr>
          <w:sz w:val="20"/>
        </w:rPr>
      </w:pPr>
    </w:p>
    <w:p w14:paraId="79ADE295" w14:textId="77777777" w:rsidR="002F2A27" w:rsidRPr="002F2A27" w:rsidRDefault="002F2A27" w:rsidP="002F2A27">
      <w:pPr>
        <w:jc w:val="both"/>
        <w:rPr>
          <w:sz w:val="20"/>
        </w:rPr>
      </w:pPr>
    </w:p>
    <w:p w14:paraId="1EDA632B" w14:textId="77777777" w:rsidR="00262CDB" w:rsidRPr="002F2A27" w:rsidRDefault="00262CDB" w:rsidP="002F2A27">
      <w:pPr>
        <w:ind w:firstLine="567"/>
        <w:jc w:val="both"/>
        <w:rPr>
          <w:sz w:val="27"/>
          <w:szCs w:val="27"/>
        </w:rPr>
      </w:pPr>
      <w:r w:rsidRPr="002F2A27">
        <w:rPr>
          <w:sz w:val="27"/>
          <w:szCs w:val="27"/>
        </w:rPr>
        <w:t xml:space="preserve">З метою забезпечення ефективного використання отриманої </w:t>
      </w:r>
      <w:r w:rsidR="00DA527B" w:rsidRPr="002F2A27">
        <w:rPr>
          <w:sz w:val="27"/>
          <w:szCs w:val="27"/>
        </w:rPr>
        <w:t>гуманітарної</w:t>
      </w:r>
      <w:r w:rsidRPr="002F2A27">
        <w:rPr>
          <w:sz w:val="27"/>
          <w:szCs w:val="27"/>
        </w:rPr>
        <w:t xml:space="preserve"> допомоги для Миколаївської мі</w:t>
      </w:r>
      <w:r w:rsidR="00292A7B" w:rsidRPr="002F2A27">
        <w:rPr>
          <w:sz w:val="27"/>
          <w:szCs w:val="27"/>
        </w:rPr>
        <w:t xml:space="preserve">ської територіальної громади, </w:t>
      </w:r>
      <w:r w:rsidR="00802728" w:rsidRPr="002F2A27">
        <w:rPr>
          <w:sz w:val="27"/>
          <w:szCs w:val="27"/>
        </w:rPr>
        <w:t>виконавчих органів та комунальних підприємств</w:t>
      </w:r>
      <w:r w:rsidR="00292A7B" w:rsidRPr="002F2A27">
        <w:rPr>
          <w:sz w:val="27"/>
          <w:szCs w:val="27"/>
        </w:rPr>
        <w:t xml:space="preserve"> Миколаївської міської ради</w:t>
      </w:r>
      <w:r w:rsidRPr="002F2A27">
        <w:rPr>
          <w:sz w:val="27"/>
          <w:szCs w:val="27"/>
        </w:rPr>
        <w:t>,</w:t>
      </w:r>
      <w:r w:rsidR="00F4186C" w:rsidRPr="002F2A27">
        <w:rPr>
          <w:sz w:val="27"/>
          <w:szCs w:val="27"/>
        </w:rPr>
        <w:t xml:space="preserve"> </w:t>
      </w:r>
      <w:r w:rsidR="00DE5F3B" w:rsidRPr="002F2A27">
        <w:rPr>
          <w:sz w:val="27"/>
          <w:szCs w:val="27"/>
        </w:rPr>
        <w:t>враховуючи</w:t>
      </w:r>
      <w:r w:rsidR="002D5BFD" w:rsidRPr="002F2A27">
        <w:rPr>
          <w:sz w:val="27"/>
          <w:szCs w:val="27"/>
        </w:rPr>
        <w:t xml:space="preserve"> договір дарування від 07.12.2022</w:t>
      </w:r>
      <w:r w:rsidR="00042529" w:rsidRPr="002F2A27">
        <w:rPr>
          <w:sz w:val="27"/>
          <w:szCs w:val="27"/>
        </w:rPr>
        <w:t>,</w:t>
      </w:r>
      <w:r w:rsidR="00DE5F3B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 xml:space="preserve">відповідно до </w:t>
      </w:r>
      <w:r w:rsidR="00493BA0" w:rsidRPr="002F2A27">
        <w:rPr>
          <w:sz w:val="27"/>
          <w:szCs w:val="27"/>
        </w:rPr>
        <w:t>Закону України «Про гуманітарну допомогу»</w:t>
      </w:r>
      <w:r w:rsidRPr="002F2A27">
        <w:rPr>
          <w:sz w:val="27"/>
          <w:szCs w:val="27"/>
        </w:rPr>
        <w:t>, рішення</w:t>
      </w:r>
      <w:r w:rsidR="00134508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 xml:space="preserve"> Миколаївської</w:t>
      </w:r>
      <w:r w:rsidR="00134508" w:rsidRPr="002F2A27">
        <w:rPr>
          <w:sz w:val="27"/>
          <w:szCs w:val="27"/>
        </w:rPr>
        <w:t xml:space="preserve"> </w:t>
      </w:r>
      <w:r w:rsidRPr="002F2A27">
        <w:rPr>
          <w:sz w:val="27"/>
          <w:szCs w:val="27"/>
        </w:rPr>
        <w:t>міської ради від 08.09.2022 №</w:t>
      </w:r>
      <w:r w:rsidR="002F2A27" w:rsidRPr="002F2A27">
        <w:rPr>
          <w:sz w:val="27"/>
          <w:szCs w:val="27"/>
        </w:rPr>
        <w:t> </w:t>
      </w:r>
      <w:r w:rsidRPr="002F2A27">
        <w:rPr>
          <w:sz w:val="27"/>
          <w:szCs w:val="27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 w:rsidR="00802728" w:rsidRPr="002F2A27">
        <w:rPr>
          <w:sz w:val="27"/>
          <w:szCs w:val="27"/>
        </w:rPr>
        <w:t xml:space="preserve"> враховуючи рішення виконавчого к</w:t>
      </w:r>
      <w:r w:rsidR="00D40A84" w:rsidRPr="002F2A27">
        <w:rPr>
          <w:sz w:val="27"/>
          <w:szCs w:val="27"/>
        </w:rPr>
        <w:t>о</w:t>
      </w:r>
      <w:r w:rsidR="00802728" w:rsidRPr="002F2A27">
        <w:rPr>
          <w:sz w:val="27"/>
          <w:szCs w:val="27"/>
        </w:rPr>
        <w:t>мітету Миколаївської міської ради від</w:t>
      </w:r>
      <w:r w:rsidR="00B53F95">
        <w:rPr>
          <w:sz w:val="27"/>
          <w:szCs w:val="27"/>
        </w:rPr>
        <w:t> </w:t>
      </w:r>
      <w:r w:rsidR="00D40A84" w:rsidRPr="002F2A27">
        <w:rPr>
          <w:sz w:val="27"/>
          <w:szCs w:val="27"/>
        </w:rPr>
        <w:t>22.02.2023 №</w:t>
      </w:r>
      <w:r w:rsidR="002F2A27" w:rsidRPr="002F2A27">
        <w:rPr>
          <w:sz w:val="27"/>
          <w:szCs w:val="27"/>
        </w:rPr>
        <w:t> </w:t>
      </w:r>
      <w:r w:rsidR="00D40A84" w:rsidRPr="002F2A27">
        <w:rPr>
          <w:sz w:val="27"/>
          <w:szCs w:val="27"/>
        </w:rPr>
        <w:t xml:space="preserve"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організацій», керуючись </w:t>
      </w:r>
      <w:r w:rsidRPr="002F2A27">
        <w:rPr>
          <w:sz w:val="27"/>
          <w:szCs w:val="27"/>
        </w:rPr>
        <w:t>ст.ст. 52, 59 Закону України «Про місцеве самоврядування в Україні», виконком міської ради</w:t>
      </w:r>
    </w:p>
    <w:p w14:paraId="3B1B37F9" w14:textId="77777777" w:rsidR="00262CDB" w:rsidRPr="002F2A27" w:rsidRDefault="00262CDB" w:rsidP="002F2A27">
      <w:pPr>
        <w:jc w:val="both"/>
        <w:rPr>
          <w:sz w:val="27"/>
          <w:szCs w:val="27"/>
        </w:rPr>
      </w:pPr>
    </w:p>
    <w:p w14:paraId="1E3F0CA6" w14:textId="77777777" w:rsidR="00262CDB" w:rsidRPr="002F2A27" w:rsidRDefault="00262CDB" w:rsidP="002F2A27">
      <w:pPr>
        <w:jc w:val="both"/>
        <w:rPr>
          <w:sz w:val="27"/>
          <w:szCs w:val="27"/>
        </w:rPr>
      </w:pPr>
      <w:r w:rsidRPr="002F2A27">
        <w:rPr>
          <w:sz w:val="27"/>
          <w:szCs w:val="27"/>
        </w:rPr>
        <w:t>ВИРІШИВ:</w:t>
      </w:r>
    </w:p>
    <w:p w14:paraId="73D4F0D4" w14:textId="77777777" w:rsidR="00262CDB" w:rsidRPr="002F2A27" w:rsidRDefault="00262CDB" w:rsidP="002F2A27">
      <w:pPr>
        <w:jc w:val="both"/>
        <w:rPr>
          <w:sz w:val="27"/>
          <w:szCs w:val="27"/>
        </w:rPr>
      </w:pPr>
    </w:p>
    <w:p w14:paraId="4B27DB84" w14:textId="77777777" w:rsidR="001D7D0D" w:rsidRPr="002F2A27" w:rsidRDefault="00B26F75" w:rsidP="002F2A27">
      <w:pPr>
        <w:ind w:firstLine="567"/>
        <w:jc w:val="both"/>
        <w:rPr>
          <w:sz w:val="27"/>
          <w:szCs w:val="27"/>
        </w:rPr>
      </w:pPr>
      <w:r w:rsidRPr="002F2A27">
        <w:rPr>
          <w:rFonts w:eastAsia="Calibri"/>
          <w:sz w:val="27"/>
          <w:szCs w:val="27"/>
        </w:rPr>
        <w:t>1.</w:t>
      </w:r>
      <w:r w:rsidR="002F2A27" w:rsidRPr="002F2A27">
        <w:rPr>
          <w:rFonts w:eastAsia="Calibri"/>
          <w:sz w:val="27"/>
          <w:szCs w:val="27"/>
        </w:rPr>
        <w:t> </w:t>
      </w:r>
      <w:r w:rsidR="001D7D0D" w:rsidRPr="002F2A27">
        <w:rPr>
          <w:rFonts w:eastAsia="Calibri"/>
          <w:sz w:val="27"/>
          <w:szCs w:val="27"/>
        </w:rPr>
        <w:t xml:space="preserve">Визначити набувачів прийнятої до комунальної власності Миколаївської міської територіальної громади </w:t>
      </w:r>
      <w:r w:rsidR="00E3594A" w:rsidRPr="002F2A27">
        <w:rPr>
          <w:rFonts w:eastAsia="Calibri"/>
          <w:sz w:val="27"/>
          <w:szCs w:val="27"/>
        </w:rPr>
        <w:t>гуманітарної</w:t>
      </w:r>
      <w:r w:rsidR="001D7D0D" w:rsidRPr="002F2A27">
        <w:rPr>
          <w:rFonts w:eastAsia="Calibri"/>
          <w:sz w:val="27"/>
          <w:szCs w:val="27"/>
        </w:rPr>
        <w:t xml:space="preserve"> допомоги від </w:t>
      </w:r>
      <w:r w:rsidR="002D5BFD" w:rsidRPr="002F2A27">
        <w:rPr>
          <w:sz w:val="27"/>
          <w:szCs w:val="27"/>
        </w:rPr>
        <w:t>Празького Магістрату</w:t>
      </w:r>
      <w:r w:rsidR="001D7D0D" w:rsidRPr="002F2A27">
        <w:rPr>
          <w:rFonts w:eastAsia="Calibri"/>
          <w:sz w:val="27"/>
          <w:szCs w:val="27"/>
        </w:rPr>
        <w:t xml:space="preserve"> для потреб Миколаївської міської територіальної громади (далі – Перелік, додається).</w:t>
      </w:r>
    </w:p>
    <w:p w14:paraId="531D4360" w14:textId="77777777" w:rsidR="001D7D0D" w:rsidRPr="002F2A27" w:rsidRDefault="001D7D0D" w:rsidP="002F2A27">
      <w:pPr>
        <w:ind w:firstLine="567"/>
        <w:jc w:val="both"/>
        <w:rPr>
          <w:rFonts w:eastAsia="Calibri"/>
          <w:sz w:val="27"/>
          <w:szCs w:val="27"/>
        </w:rPr>
      </w:pPr>
      <w:r w:rsidRPr="002F2A27">
        <w:rPr>
          <w:rFonts w:eastAsia="Calibri"/>
          <w:sz w:val="27"/>
          <w:szCs w:val="27"/>
        </w:rPr>
        <w:t>2.</w:t>
      </w:r>
      <w:r w:rsidR="002F2A27" w:rsidRPr="002F2A27">
        <w:rPr>
          <w:rFonts w:eastAsia="Calibri"/>
          <w:sz w:val="27"/>
          <w:szCs w:val="27"/>
        </w:rPr>
        <w:t> </w:t>
      </w:r>
      <w:r w:rsidRPr="002F2A27">
        <w:rPr>
          <w:rFonts w:eastAsia="Calibri"/>
          <w:sz w:val="27"/>
          <w:szCs w:val="27"/>
        </w:rPr>
        <w:t>Управлінню комунального майна Миколаївської міської ради (Мкртчяну)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</w:t>
      </w:r>
      <w:r w:rsidR="008E419E" w:rsidRPr="002F2A27">
        <w:rPr>
          <w:rFonts w:eastAsia="Calibri"/>
          <w:sz w:val="27"/>
          <w:szCs w:val="27"/>
        </w:rPr>
        <w:t>ьної громади гуманітарної</w:t>
      </w:r>
      <w:r w:rsidRPr="002F2A27">
        <w:rPr>
          <w:rFonts w:eastAsia="Calibri"/>
          <w:sz w:val="27"/>
          <w:szCs w:val="27"/>
        </w:rPr>
        <w:t xml:space="preserve"> допомоги, згідно з Переліком. </w:t>
      </w:r>
    </w:p>
    <w:p w14:paraId="24AE8D59" w14:textId="77777777" w:rsidR="00262CDB" w:rsidRDefault="00B267BC" w:rsidP="002F2A27">
      <w:pPr>
        <w:ind w:firstLine="567"/>
        <w:jc w:val="both"/>
        <w:rPr>
          <w:sz w:val="27"/>
          <w:szCs w:val="27"/>
        </w:rPr>
      </w:pPr>
      <w:r w:rsidRPr="002F2A27">
        <w:rPr>
          <w:sz w:val="27"/>
          <w:szCs w:val="27"/>
        </w:rPr>
        <w:t>3</w:t>
      </w:r>
      <w:r w:rsidR="00262CDB" w:rsidRPr="002F2A27">
        <w:rPr>
          <w:sz w:val="27"/>
          <w:szCs w:val="27"/>
        </w:rPr>
        <w:t>.</w:t>
      </w:r>
      <w:r w:rsidR="002F2A27" w:rsidRPr="002F2A27">
        <w:rPr>
          <w:sz w:val="27"/>
          <w:szCs w:val="27"/>
        </w:rPr>
        <w:t> </w:t>
      </w:r>
      <w:r w:rsidR="00262CDB" w:rsidRPr="002F2A27">
        <w:rPr>
          <w:sz w:val="27"/>
          <w:szCs w:val="27"/>
        </w:rPr>
        <w:t>Контроль за виконанням</w:t>
      </w:r>
      <w:r w:rsidR="007266F5" w:rsidRPr="002F2A27">
        <w:rPr>
          <w:sz w:val="27"/>
          <w:szCs w:val="27"/>
        </w:rPr>
        <w:t xml:space="preserve"> даного</w:t>
      </w:r>
      <w:r w:rsidR="00262CDB" w:rsidRPr="002F2A27">
        <w:rPr>
          <w:sz w:val="27"/>
          <w:szCs w:val="27"/>
        </w:rPr>
        <w:t xml:space="preserve"> рішення</w:t>
      </w:r>
      <w:r w:rsidR="007266F5" w:rsidRPr="002F2A27">
        <w:rPr>
          <w:sz w:val="27"/>
          <w:szCs w:val="27"/>
        </w:rPr>
        <w:t xml:space="preserve"> покласти на</w:t>
      </w:r>
      <w:r w:rsidR="00262CDB" w:rsidRPr="002F2A27">
        <w:rPr>
          <w:sz w:val="27"/>
          <w:szCs w:val="27"/>
        </w:rPr>
        <w:t xml:space="preserve"> першого заступника міського голови </w:t>
      </w:r>
      <w:proofErr w:type="spellStart"/>
      <w:r w:rsidR="00262CDB" w:rsidRPr="002F2A27">
        <w:rPr>
          <w:sz w:val="27"/>
          <w:szCs w:val="27"/>
        </w:rPr>
        <w:t>Лукова</w:t>
      </w:r>
      <w:proofErr w:type="spellEnd"/>
      <w:r w:rsidR="00262CDB" w:rsidRPr="002F2A27">
        <w:rPr>
          <w:sz w:val="27"/>
          <w:szCs w:val="27"/>
        </w:rPr>
        <w:t xml:space="preserve"> В.Д.</w:t>
      </w:r>
    </w:p>
    <w:p w14:paraId="57715025" w14:textId="77777777" w:rsidR="00CD4D7D" w:rsidRDefault="00CD4D7D" w:rsidP="002F2A27">
      <w:pPr>
        <w:ind w:firstLine="567"/>
        <w:jc w:val="both"/>
        <w:rPr>
          <w:sz w:val="27"/>
          <w:szCs w:val="27"/>
        </w:rPr>
      </w:pPr>
    </w:p>
    <w:p w14:paraId="311C79DA" w14:textId="77777777" w:rsidR="00CD4D7D" w:rsidRPr="002F2A27" w:rsidRDefault="00CD4D7D" w:rsidP="002F2A27">
      <w:pPr>
        <w:ind w:firstLine="567"/>
        <w:jc w:val="both"/>
        <w:rPr>
          <w:sz w:val="27"/>
          <w:szCs w:val="27"/>
        </w:rPr>
      </w:pPr>
    </w:p>
    <w:p w14:paraId="2C7B74F1" w14:textId="77777777" w:rsidR="00C57595" w:rsidRDefault="00C57595" w:rsidP="002F2A27">
      <w:pPr>
        <w:jc w:val="both"/>
        <w:rPr>
          <w:rFonts w:eastAsia="Calibri"/>
          <w:sz w:val="8"/>
          <w:szCs w:val="8"/>
        </w:rPr>
      </w:pPr>
    </w:p>
    <w:p w14:paraId="174205BD" w14:textId="77777777" w:rsidR="00C21FA4" w:rsidRPr="002F2A27" w:rsidRDefault="00E8483F" w:rsidP="002F2A27">
      <w:pPr>
        <w:jc w:val="both"/>
        <w:rPr>
          <w:sz w:val="27"/>
          <w:szCs w:val="27"/>
        </w:rPr>
        <w:sectPr w:rsidR="00C21FA4" w:rsidRPr="002F2A27" w:rsidSect="002F2A2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7"/>
          <w:szCs w:val="27"/>
        </w:rPr>
        <w:t xml:space="preserve">Міський голова  </w:t>
      </w:r>
      <w:r w:rsidR="005E6560" w:rsidRPr="002F2A27">
        <w:rPr>
          <w:sz w:val="27"/>
          <w:szCs w:val="27"/>
        </w:rPr>
        <w:t xml:space="preserve">                                                      </w:t>
      </w:r>
      <w:r w:rsidR="002F2A27">
        <w:rPr>
          <w:sz w:val="27"/>
          <w:szCs w:val="27"/>
        </w:rPr>
        <w:t xml:space="preserve">      </w:t>
      </w:r>
      <w:r w:rsidR="005E6560" w:rsidRPr="002F2A27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</w:t>
      </w:r>
      <w:r w:rsidR="005E6560" w:rsidRPr="002F2A27">
        <w:rPr>
          <w:sz w:val="27"/>
          <w:szCs w:val="27"/>
        </w:rPr>
        <w:t xml:space="preserve">  О.</w:t>
      </w:r>
      <w:r w:rsidR="002F2A27" w:rsidRPr="002F2A27">
        <w:rPr>
          <w:sz w:val="27"/>
          <w:szCs w:val="27"/>
        </w:rPr>
        <w:t> </w:t>
      </w:r>
      <w:r w:rsidR="005E6560" w:rsidRPr="002F2A27">
        <w:rPr>
          <w:sz w:val="27"/>
          <w:szCs w:val="27"/>
        </w:rPr>
        <w:t>СЄНКЕВИЧ</w:t>
      </w:r>
    </w:p>
    <w:p w14:paraId="5AE2E260" w14:textId="77777777" w:rsidR="00C21FA4" w:rsidRPr="00BB3006" w:rsidRDefault="00C21FA4" w:rsidP="00F014D9">
      <w:pPr>
        <w:sectPr w:rsidR="00C21FA4" w:rsidRPr="00BB3006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4D1357FD" w14:textId="77777777" w:rsidR="00262CDB" w:rsidRPr="00BB3006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lastRenderedPageBreak/>
        <w:t>ЗАТВЕРДЖЕНО</w:t>
      </w:r>
    </w:p>
    <w:p w14:paraId="7A2359F3" w14:textId="77777777" w:rsidR="00262CDB" w:rsidRPr="00BB3006" w:rsidRDefault="00D75EDE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t>рішення виконкому</w:t>
      </w:r>
      <w:r w:rsidR="00262CDB" w:rsidRPr="00BB3006">
        <w:rPr>
          <w:rFonts w:eastAsiaTheme="minorHAnsi"/>
          <w:szCs w:val="28"/>
        </w:rPr>
        <w:t xml:space="preserve"> міської ради</w:t>
      </w:r>
    </w:p>
    <w:p w14:paraId="393EC5B3" w14:textId="77777777" w:rsidR="00262CDB" w:rsidRPr="00BB3006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BB3006">
        <w:rPr>
          <w:rFonts w:eastAsiaTheme="minorHAnsi"/>
          <w:szCs w:val="28"/>
        </w:rPr>
        <w:t>від______________</w:t>
      </w:r>
      <w:r w:rsidR="002F2A27">
        <w:rPr>
          <w:rFonts w:eastAsiaTheme="minorHAnsi"/>
          <w:szCs w:val="28"/>
        </w:rPr>
        <w:t>____________</w:t>
      </w:r>
    </w:p>
    <w:p w14:paraId="383338C6" w14:textId="77777777" w:rsidR="00CF13E2" w:rsidRDefault="00262CDB" w:rsidP="00FB1B9A">
      <w:pPr>
        <w:suppressAutoHyphens w:val="0"/>
        <w:ind w:left="10773"/>
      </w:pPr>
      <w:r w:rsidRPr="00BB3006">
        <w:rPr>
          <w:rFonts w:eastAsiaTheme="minorHAnsi"/>
          <w:szCs w:val="28"/>
        </w:rPr>
        <w:t>№</w:t>
      </w:r>
      <w:r w:rsidR="002F2A27">
        <w:rPr>
          <w:rFonts w:eastAsiaTheme="minorHAnsi"/>
          <w:szCs w:val="28"/>
        </w:rPr>
        <w:t> _____________</w:t>
      </w:r>
      <w:r w:rsidRPr="00BB3006">
        <w:rPr>
          <w:rFonts w:eastAsiaTheme="minorHAnsi"/>
          <w:szCs w:val="28"/>
        </w:rPr>
        <w:t>_____________</w:t>
      </w:r>
    </w:p>
    <w:p w14:paraId="2015C81E" w14:textId="77777777" w:rsidR="002F2A27" w:rsidRDefault="002F2A27" w:rsidP="00CF13E2"/>
    <w:p w14:paraId="7EAAE59C" w14:textId="77777777" w:rsidR="002F2A27" w:rsidRPr="00BB3006" w:rsidRDefault="002F2A27" w:rsidP="00CF13E2"/>
    <w:p w14:paraId="7D379325" w14:textId="77777777" w:rsidR="005356F1" w:rsidRPr="00BB3006" w:rsidRDefault="005356F1" w:rsidP="005356F1">
      <w:pPr>
        <w:pStyle w:val="ac"/>
        <w:ind w:left="1701"/>
        <w:jc w:val="center"/>
        <w:rPr>
          <w:sz w:val="28"/>
          <w:szCs w:val="28"/>
        </w:rPr>
      </w:pPr>
      <w:r w:rsidRPr="00BB3006">
        <w:rPr>
          <w:sz w:val="28"/>
          <w:szCs w:val="28"/>
        </w:rPr>
        <w:t>Перелік</w:t>
      </w:r>
    </w:p>
    <w:p w14:paraId="5814EDD9" w14:textId="77777777" w:rsidR="005356F1" w:rsidRPr="00BB3006" w:rsidRDefault="005356F1" w:rsidP="005356F1">
      <w:pPr>
        <w:pStyle w:val="a8"/>
        <w:tabs>
          <w:tab w:val="left" w:pos="1134"/>
        </w:tabs>
        <w:spacing w:line="235" w:lineRule="auto"/>
        <w:ind w:left="1701" w:right="109"/>
        <w:jc w:val="center"/>
        <w:rPr>
          <w:color w:val="000000"/>
          <w:szCs w:val="28"/>
        </w:rPr>
      </w:pPr>
      <w:r w:rsidRPr="00BB3006">
        <w:rPr>
          <w:szCs w:val="28"/>
        </w:rPr>
        <w:t>гуманітарної допомоги від</w:t>
      </w:r>
      <w:r w:rsidRPr="00BB3006">
        <w:rPr>
          <w:color w:val="000000"/>
          <w:szCs w:val="28"/>
        </w:rPr>
        <w:t xml:space="preserve"> Празького Магістрату </w:t>
      </w:r>
      <w:r w:rsidRPr="00BB3006">
        <w:rPr>
          <w:szCs w:val="28"/>
        </w:rPr>
        <w:t>для потреб Миколаївської міської територіальної громади</w:t>
      </w:r>
    </w:p>
    <w:p w14:paraId="35F57DF7" w14:textId="77777777" w:rsidR="005356F1" w:rsidRPr="00BB3006" w:rsidRDefault="005356F1" w:rsidP="005356F1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50"/>
        <w:gridCol w:w="708"/>
        <w:gridCol w:w="1418"/>
        <w:gridCol w:w="1447"/>
        <w:gridCol w:w="6237"/>
      </w:tblGrid>
      <w:tr w:rsidR="005356F1" w:rsidRPr="00BB3006" w14:paraId="6AF7DED1" w14:textId="77777777" w:rsidTr="002F2A27">
        <w:trPr>
          <w:cantSplit/>
          <w:trHeight w:val="1274"/>
        </w:trPr>
        <w:tc>
          <w:tcPr>
            <w:tcW w:w="675" w:type="dxa"/>
            <w:shd w:val="clear" w:color="auto" w:fill="auto"/>
          </w:tcPr>
          <w:p w14:paraId="25EE484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583DBD" w14:textId="77777777" w:rsidR="005356F1" w:rsidRPr="00BB3006" w:rsidRDefault="005356F1" w:rsidP="0015486B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14542FD" w14:textId="77777777" w:rsidR="005356F1" w:rsidRPr="00BB3006" w:rsidRDefault="005356F1" w:rsidP="0015486B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927E11E" w14:textId="77777777" w:rsidR="005356F1" w:rsidRPr="00BB3006" w:rsidRDefault="005356F1" w:rsidP="0015486B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40374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3564E4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6237" w:type="dxa"/>
            <w:vAlign w:val="center"/>
          </w:tcPr>
          <w:p w14:paraId="786C39F2" w14:textId="77777777" w:rsidR="005356F1" w:rsidRPr="00BB3006" w:rsidRDefault="005356F1" w:rsidP="001548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</w:rPr>
              <w:t>Набувач</w:t>
            </w:r>
          </w:p>
        </w:tc>
      </w:tr>
      <w:tr w:rsidR="005356F1" w:rsidRPr="00BB3006" w14:paraId="66C17390" w14:textId="77777777" w:rsidTr="00771E40">
        <w:trPr>
          <w:trHeight w:val="14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2BDE8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803C7F7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SIAL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Gryp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41B250D" w14:textId="77777777" w:rsidR="005356F1" w:rsidRPr="00BB3006" w:rsidRDefault="005356F1" w:rsidP="002F2A27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14:paraId="106920CB" w14:textId="77777777" w:rsidR="005356F1" w:rsidRPr="00BB3006" w:rsidRDefault="005356F1" w:rsidP="00771E40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BC0A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FBA5CEC" w14:textId="77777777" w:rsidR="005356F1" w:rsidRPr="00BB3006" w:rsidRDefault="005356F1" w:rsidP="0015486B">
            <w:pPr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68821,41</w:t>
            </w:r>
          </w:p>
        </w:tc>
        <w:tc>
          <w:tcPr>
            <w:tcW w:w="6237" w:type="dxa"/>
            <w:vAlign w:val="center"/>
          </w:tcPr>
          <w:p w14:paraId="6B8BA18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DDE979E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267B575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4D1AFD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54B1A3" w14:textId="77777777" w:rsidR="005356F1" w:rsidRPr="00BB3006" w:rsidRDefault="005356F1" w:rsidP="002F2A27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F99D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D04C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1DFB7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389987,99</w:t>
            </w:r>
          </w:p>
        </w:tc>
        <w:tc>
          <w:tcPr>
            <w:tcW w:w="6237" w:type="dxa"/>
            <w:vAlign w:val="center"/>
          </w:tcPr>
          <w:p w14:paraId="77442F7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5C0F645E" w14:textId="77777777" w:rsidTr="002F2A27">
        <w:trPr>
          <w:trHeight w:val="14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6B4DB5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290F34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Теплова гармата</w:t>
            </w:r>
            <w:r w:rsidR="003245EC" w:rsidRPr="00BB300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Master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B 100 CEH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DD161BA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EF73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F8A6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4ED172F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124924,68</w:t>
            </w:r>
          </w:p>
        </w:tc>
        <w:tc>
          <w:tcPr>
            <w:tcW w:w="6237" w:type="dxa"/>
            <w:vAlign w:val="center"/>
          </w:tcPr>
          <w:p w14:paraId="769F65C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780782F0" w14:textId="77777777" w:rsidTr="002F2A27">
        <w:trPr>
          <w:trHeight w:val="174"/>
        </w:trPr>
        <w:tc>
          <w:tcPr>
            <w:tcW w:w="675" w:type="dxa"/>
            <w:vMerge/>
            <w:shd w:val="clear" w:color="auto" w:fill="auto"/>
            <w:vAlign w:val="center"/>
          </w:tcPr>
          <w:p w14:paraId="558A607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8A36170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DDE5F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CC449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04B7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30C02A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7ECF76A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спеціалізоване монтажно-експлуатаційне підприємство</w:t>
            </w:r>
          </w:p>
        </w:tc>
      </w:tr>
      <w:tr w:rsidR="005356F1" w:rsidRPr="00BB3006" w14:paraId="0E4C6F62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533730C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7579C1D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0CB92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273AD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8729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920DEB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6D0C5CA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0D8AC1A6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2559B2E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D32345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0FE72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24418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38B6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637A55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156155,85</w:t>
            </w:r>
          </w:p>
        </w:tc>
        <w:tc>
          <w:tcPr>
            <w:tcW w:w="6237" w:type="dxa"/>
            <w:vAlign w:val="center"/>
          </w:tcPr>
          <w:p w14:paraId="0FCED9EB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виробниче підприємство по організації харчування у навчальних закладах</w:t>
            </w:r>
          </w:p>
        </w:tc>
      </w:tr>
      <w:tr w:rsidR="005356F1" w:rsidRPr="00BB3006" w14:paraId="46530F0B" w14:textId="77777777" w:rsidTr="002F2A27">
        <w:trPr>
          <w:trHeight w:val="107"/>
        </w:trPr>
        <w:tc>
          <w:tcPr>
            <w:tcW w:w="675" w:type="dxa"/>
            <w:vMerge/>
            <w:shd w:val="clear" w:color="auto" w:fill="auto"/>
            <w:vAlign w:val="center"/>
          </w:tcPr>
          <w:p w14:paraId="1F33B667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DE950A2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C707B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7F6EB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732A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EF182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7E7E175C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«Центр захисту тварин»</w:t>
            </w:r>
          </w:p>
        </w:tc>
      </w:tr>
      <w:tr w:rsidR="005356F1" w:rsidRPr="00BB3006" w14:paraId="4C7EC3D9" w14:textId="77777777" w:rsidTr="002F2A27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14:paraId="7B75051D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3522DD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B6225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515AF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CC33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7A52C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62462,34</w:t>
            </w:r>
          </w:p>
        </w:tc>
        <w:tc>
          <w:tcPr>
            <w:tcW w:w="6237" w:type="dxa"/>
            <w:vAlign w:val="center"/>
          </w:tcPr>
          <w:p w14:paraId="4DC6538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1ED21570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362C2DF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7EBC67A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2A1230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86313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DAD1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7709E1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4EC2B62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«Обрій-ДКП»</w:t>
            </w:r>
          </w:p>
        </w:tc>
      </w:tr>
      <w:tr w:rsidR="005356F1" w:rsidRPr="00BB3006" w14:paraId="586DE554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7C8D3BE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13F30E8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440C07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8E108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1DF146" w14:textId="77777777" w:rsidR="005356F1" w:rsidRPr="00BB3006" w:rsidRDefault="005356F1" w:rsidP="002F2A27">
            <w:pPr>
              <w:jc w:val="center"/>
              <w:rPr>
                <w:sz w:val="24"/>
                <w:szCs w:val="18"/>
              </w:rPr>
            </w:pPr>
            <w:r w:rsidRPr="00BB3006">
              <w:rPr>
                <w:sz w:val="24"/>
                <w:szCs w:val="18"/>
              </w:rPr>
              <w:t>31231,17</w:t>
            </w:r>
          </w:p>
        </w:tc>
        <w:tc>
          <w:tcPr>
            <w:tcW w:w="1447" w:type="dxa"/>
            <w:shd w:val="clear" w:color="auto" w:fill="auto"/>
          </w:tcPr>
          <w:p w14:paraId="3DBE02EA" w14:textId="77777777" w:rsidR="005356F1" w:rsidRPr="00BB3006" w:rsidRDefault="005356F1" w:rsidP="002F2A27">
            <w:pPr>
              <w:jc w:val="center"/>
              <w:rPr>
                <w:sz w:val="24"/>
                <w:szCs w:val="18"/>
              </w:rPr>
            </w:pPr>
            <w:r w:rsidRPr="00BB3006">
              <w:rPr>
                <w:sz w:val="24"/>
                <w:szCs w:val="18"/>
              </w:rPr>
              <w:t>62462,34</w:t>
            </w:r>
          </w:p>
        </w:tc>
        <w:tc>
          <w:tcPr>
            <w:tcW w:w="6237" w:type="dxa"/>
            <w:vAlign w:val="center"/>
          </w:tcPr>
          <w:p w14:paraId="3D82A7D8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Миколаївпастранс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6C349DA6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0B03BBE2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94B83F3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11D99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D6622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0779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79AF2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6237" w:type="dxa"/>
            <w:vAlign w:val="center"/>
          </w:tcPr>
          <w:p w14:paraId="3D4070D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30E58C96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3990CB1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2CBE67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55CE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D492B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D173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31231,17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40CE1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281080,53</w:t>
            </w:r>
          </w:p>
        </w:tc>
        <w:tc>
          <w:tcPr>
            <w:tcW w:w="6237" w:type="dxa"/>
            <w:vAlign w:val="center"/>
          </w:tcPr>
          <w:p w14:paraId="452ED67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5D73755B" w14:textId="77777777" w:rsidTr="002F2A27">
        <w:trPr>
          <w:trHeight w:val="1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14F20A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3A5399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Herkules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B 100 L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49ECD89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FFAC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38CD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17377,56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BFD07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34755,12</w:t>
            </w:r>
          </w:p>
        </w:tc>
        <w:tc>
          <w:tcPr>
            <w:tcW w:w="6237" w:type="dxa"/>
            <w:vAlign w:val="center"/>
          </w:tcPr>
          <w:p w14:paraId="76ACC7A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3CD7A2A9" w14:textId="77777777" w:rsidTr="002F2A27">
        <w:trPr>
          <w:trHeight w:val="173"/>
        </w:trPr>
        <w:tc>
          <w:tcPr>
            <w:tcW w:w="675" w:type="dxa"/>
            <w:vMerge/>
            <w:shd w:val="clear" w:color="auto" w:fill="auto"/>
            <w:vAlign w:val="center"/>
          </w:tcPr>
          <w:p w14:paraId="316A064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B8023BE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E8083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8FF7C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25AC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17377,56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02307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191153,16</w:t>
            </w:r>
          </w:p>
        </w:tc>
        <w:tc>
          <w:tcPr>
            <w:tcW w:w="6237" w:type="dxa"/>
            <w:vAlign w:val="center"/>
          </w:tcPr>
          <w:p w14:paraId="2709C50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0E62F465" w14:textId="77777777" w:rsidTr="002F2A27">
        <w:trPr>
          <w:trHeight w:val="1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880B6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92B533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Теплова гармата KROLL GK 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24B0DD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1CB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D573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707C43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63677,20</w:t>
            </w:r>
          </w:p>
        </w:tc>
        <w:tc>
          <w:tcPr>
            <w:tcW w:w="6237" w:type="dxa"/>
            <w:vAlign w:val="center"/>
          </w:tcPr>
          <w:p w14:paraId="1FFED5F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58902510" w14:textId="77777777" w:rsidTr="002F2A27">
        <w:trPr>
          <w:trHeight w:val="116"/>
        </w:trPr>
        <w:tc>
          <w:tcPr>
            <w:tcW w:w="675" w:type="dxa"/>
            <w:vMerge/>
            <w:shd w:val="clear" w:color="auto" w:fill="auto"/>
            <w:vAlign w:val="center"/>
          </w:tcPr>
          <w:p w14:paraId="054678B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B92F7B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375BB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C642B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B1C8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827F85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127354,40</w:t>
            </w:r>
          </w:p>
        </w:tc>
        <w:tc>
          <w:tcPr>
            <w:tcW w:w="6237" w:type="dxa"/>
            <w:vAlign w:val="center"/>
          </w:tcPr>
          <w:p w14:paraId="136303A9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31D19C5B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2CEAB945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3D25978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BF1C6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B22E2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2778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D111C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63677,20</w:t>
            </w:r>
          </w:p>
        </w:tc>
        <w:tc>
          <w:tcPr>
            <w:tcW w:w="6237" w:type="dxa"/>
            <w:vAlign w:val="center"/>
          </w:tcPr>
          <w:p w14:paraId="51A4941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</w:t>
            </w:r>
            <w:proofErr w:type="spellStart"/>
            <w:r w:rsidRPr="00BB3006">
              <w:rPr>
                <w:sz w:val="24"/>
                <w:szCs w:val="24"/>
              </w:rPr>
              <w:t>Миколаївкомунтранс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F2F606E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516827C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3CAB32B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48431A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43050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259DF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28CE5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31838,60</w:t>
            </w:r>
          </w:p>
        </w:tc>
        <w:tc>
          <w:tcPr>
            <w:tcW w:w="6237" w:type="dxa"/>
            <w:vAlign w:val="center"/>
          </w:tcPr>
          <w:p w14:paraId="1180A46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3B371FC0" w14:textId="77777777" w:rsidTr="002F2A27">
        <w:trPr>
          <w:trHeight w:val="17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93161B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0C3E1D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AXE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Galaxy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20 C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BC2C16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3EAD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4D8F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984C25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137642,82</w:t>
            </w:r>
          </w:p>
        </w:tc>
        <w:tc>
          <w:tcPr>
            <w:tcW w:w="6237" w:type="dxa"/>
            <w:vAlign w:val="center"/>
          </w:tcPr>
          <w:p w14:paraId="152157EF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02527D61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4CC9DDD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75174A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F5E153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D1E3E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1CC7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BADFB7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45880,94</w:t>
            </w:r>
          </w:p>
        </w:tc>
        <w:tc>
          <w:tcPr>
            <w:tcW w:w="6237" w:type="dxa"/>
            <w:vAlign w:val="center"/>
          </w:tcPr>
          <w:p w14:paraId="7C952FAA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28A22E64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31A0A60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B0DAEA2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F1831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402949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C940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46FD4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91761,88</w:t>
            </w:r>
          </w:p>
        </w:tc>
        <w:tc>
          <w:tcPr>
            <w:tcW w:w="6237" w:type="dxa"/>
            <w:vAlign w:val="center"/>
          </w:tcPr>
          <w:p w14:paraId="56702E04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000451C1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70DA6B1F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64C785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B0EFE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F146E5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972F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FC5B4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6237" w:type="dxa"/>
            <w:vAlign w:val="center"/>
          </w:tcPr>
          <w:p w14:paraId="59467BB2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69630606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40C116C8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A93BCF1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396D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DBD6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546E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22940,47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6F019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1376428,20</w:t>
            </w:r>
          </w:p>
        </w:tc>
        <w:tc>
          <w:tcPr>
            <w:tcW w:w="6237" w:type="dxa"/>
            <w:vAlign w:val="center"/>
          </w:tcPr>
          <w:p w14:paraId="649CAB4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0AC6B0D3" w14:textId="77777777" w:rsidTr="002F2A27">
        <w:trPr>
          <w:trHeight w:val="9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6EB0879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1B0B9D6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en-US"/>
              </w:rPr>
            </w:pPr>
            <w:r w:rsidRPr="00BB3006">
              <w:rPr>
                <w:color w:val="000000"/>
                <w:sz w:val="24"/>
                <w:szCs w:val="24"/>
              </w:rPr>
              <w:t xml:space="preserve">Теплова гармата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Bekar</w:t>
            </w:r>
            <w:proofErr w:type="spellEnd"/>
            <w:r w:rsidR="003245EC" w:rsidRPr="00BB3006">
              <w:rPr>
                <w:color w:val="000000"/>
                <w:sz w:val="24"/>
                <w:szCs w:val="24"/>
                <w:lang w:val="en-US"/>
              </w:rPr>
              <w:t xml:space="preserve"> B60K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3D62335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1614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B300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D9D0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0E3D9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139286,76</w:t>
            </w:r>
          </w:p>
        </w:tc>
        <w:tc>
          <w:tcPr>
            <w:tcW w:w="6237" w:type="dxa"/>
            <w:vAlign w:val="center"/>
          </w:tcPr>
          <w:p w14:paraId="265E4D42" w14:textId="77777777" w:rsidR="005356F1" w:rsidRPr="00BB3006" w:rsidRDefault="005356F1" w:rsidP="0015486B">
            <w:pPr>
              <w:rPr>
                <w:sz w:val="24"/>
                <w:szCs w:val="24"/>
                <w:lang w:val="ru-RU"/>
              </w:rPr>
            </w:pPr>
            <w:r w:rsidRPr="00BB3006">
              <w:rPr>
                <w:sz w:val="24"/>
                <w:szCs w:val="24"/>
                <w:lang w:val="ru-RU"/>
              </w:rPr>
              <w:t>ОКП «</w:t>
            </w:r>
            <w:proofErr w:type="spellStart"/>
            <w:r w:rsidRPr="00BB3006">
              <w:rPr>
                <w:sz w:val="24"/>
                <w:szCs w:val="24"/>
                <w:lang w:val="ru-RU"/>
              </w:rPr>
              <w:t>Миколаївоблтеплоенерго</w:t>
            </w:r>
            <w:proofErr w:type="spellEnd"/>
            <w:r w:rsidRPr="00BB3006">
              <w:rPr>
                <w:sz w:val="24"/>
                <w:szCs w:val="24"/>
                <w:lang w:val="ru-RU"/>
              </w:rPr>
              <w:t>»</w:t>
            </w:r>
          </w:p>
        </w:tc>
      </w:tr>
      <w:tr w:rsidR="005356F1" w:rsidRPr="00BB3006" w14:paraId="1FE825EA" w14:textId="77777777" w:rsidTr="002F2A27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037A4BF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C04CB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4C057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7A58C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DC7F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DDDA64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69643,38</w:t>
            </w:r>
          </w:p>
        </w:tc>
        <w:tc>
          <w:tcPr>
            <w:tcW w:w="6237" w:type="dxa"/>
            <w:vAlign w:val="center"/>
          </w:tcPr>
          <w:p w14:paraId="7B41A1C6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спеціалізоване монтажно-експлуатаційне підприємство</w:t>
            </w:r>
          </w:p>
        </w:tc>
      </w:tr>
      <w:tr w:rsidR="005356F1" w:rsidRPr="00BB3006" w14:paraId="34F8B980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2803349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E052946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0D208C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A6649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DC481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1865E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139286,76</w:t>
            </w:r>
          </w:p>
        </w:tc>
        <w:tc>
          <w:tcPr>
            <w:tcW w:w="6237" w:type="dxa"/>
            <w:vAlign w:val="center"/>
          </w:tcPr>
          <w:p w14:paraId="040AFF81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2C756D4D" w14:textId="77777777" w:rsidTr="002F2A27">
        <w:trPr>
          <w:trHeight w:val="130"/>
        </w:trPr>
        <w:tc>
          <w:tcPr>
            <w:tcW w:w="675" w:type="dxa"/>
            <w:vMerge/>
            <w:shd w:val="clear" w:color="auto" w:fill="auto"/>
            <w:vAlign w:val="center"/>
          </w:tcPr>
          <w:p w14:paraId="44F141D6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6777C8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F0C29F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67328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ABDB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1DBAD4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77950F35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</w:t>
            </w:r>
            <w:proofErr w:type="spellStart"/>
            <w:r w:rsidRPr="00BB3006">
              <w:rPr>
                <w:sz w:val="24"/>
                <w:szCs w:val="24"/>
              </w:rPr>
              <w:t>Миколаївкомунтранс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715DEE39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2FEEDEFE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9ED7CB4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6D5FBB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25FB09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C6F8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EF26D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48B20B07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«Обрій-ДКП»</w:t>
            </w:r>
          </w:p>
        </w:tc>
      </w:tr>
      <w:tr w:rsidR="005356F1" w:rsidRPr="00BB3006" w14:paraId="4B898312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3B88E30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D79CFEC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2A3E7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AA4740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C1FB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D8A10C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69643,38</w:t>
            </w:r>
          </w:p>
        </w:tc>
        <w:tc>
          <w:tcPr>
            <w:tcW w:w="6237" w:type="dxa"/>
            <w:vAlign w:val="center"/>
          </w:tcPr>
          <w:p w14:paraId="1CA6F17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Миколаївпастранс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BB3006" w14:paraId="2AF770E8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75762F83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209BCF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A2F352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5D7558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B81AA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5A48A6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31A1E5B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«Експлуатаційне лінійне управління автодоріг»</w:t>
            </w:r>
          </w:p>
        </w:tc>
      </w:tr>
      <w:tr w:rsidR="005356F1" w:rsidRPr="00BB3006" w14:paraId="51FD0FA3" w14:textId="77777777" w:rsidTr="002F2A27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14:paraId="71B347AC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5D1980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C3339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A008C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354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37191BF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6237" w:type="dxa"/>
            <w:vAlign w:val="center"/>
          </w:tcPr>
          <w:p w14:paraId="66F14BFD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Житлово-комунальне підприємство Миколаївської міської ради «БРИЗ»</w:t>
            </w:r>
          </w:p>
        </w:tc>
      </w:tr>
      <w:tr w:rsidR="005356F1" w:rsidRPr="00BB3006" w14:paraId="714CCE59" w14:textId="77777777" w:rsidTr="002F2A27">
        <w:trPr>
          <w:trHeight w:val="133"/>
        </w:trPr>
        <w:tc>
          <w:tcPr>
            <w:tcW w:w="675" w:type="dxa"/>
            <w:vMerge/>
            <w:shd w:val="clear" w:color="auto" w:fill="auto"/>
            <w:vAlign w:val="center"/>
          </w:tcPr>
          <w:p w14:paraId="744DBB2D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5129AD1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CA2C4E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1260CA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7DE8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34821,69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C1B7C3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2298231,54</w:t>
            </w:r>
          </w:p>
          <w:p w14:paraId="3CB3AD4D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0C274E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5356F1" w:rsidRPr="00BB3006" w14:paraId="499C0641" w14:textId="77777777" w:rsidTr="002F2A27">
        <w:trPr>
          <w:cantSplit/>
          <w:trHeight w:val="1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952591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  <w:r w:rsidRPr="00BB300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6CF019F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  <w:lang w:val="ru-RU"/>
              </w:rPr>
              <w:t xml:space="preserve">Генератор </w:t>
            </w:r>
            <w:proofErr w:type="spellStart"/>
            <w:r w:rsidRPr="00BB3006">
              <w:rPr>
                <w:color w:val="000000"/>
                <w:sz w:val="24"/>
                <w:szCs w:val="24"/>
              </w:rPr>
              <w:t>Endress</w:t>
            </w:r>
            <w:proofErr w:type="spellEnd"/>
            <w:r w:rsidRPr="00BB3006">
              <w:rPr>
                <w:color w:val="000000"/>
                <w:sz w:val="24"/>
                <w:szCs w:val="24"/>
              </w:rPr>
              <w:t xml:space="preserve"> ESE 606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E7DF15A" w14:textId="77777777" w:rsidR="005356F1" w:rsidRPr="00BB3006" w:rsidRDefault="005356F1" w:rsidP="002F2A27">
            <w:pPr>
              <w:jc w:val="center"/>
            </w:pPr>
            <w:r w:rsidRPr="00BB3006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0D334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32CA3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642C47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32037493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5356F1" w:rsidRPr="00BB3006" w14:paraId="33A3B5F0" w14:textId="77777777" w:rsidTr="002F2A27">
        <w:trPr>
          <w:cantSplit/>
          <w:trHeight w:val="160"/>
        </w:trPr>
        <w:tc>
          <w:tcPr>
            <w:tcW w:w="675" w:type="dxa"/>
            <w:vMerge/>
            <w:shd w:val="clear" w:color="auto" w:fill="auto"/>
            <w:vAlign w:val="center"/>
          </w:tcPr>
          <w:p w14:paraId="01A8BB7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12C060A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F0909D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E8BA51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082C0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3E4EAF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6237" w:type="dxa"/>
            <w:vAlign w:val="center"/>
          </w:tcPr>
          <w:p w14:paraId="2017299A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виробниче підприємство по організації харчування у навчальних закладах</w:t>
            </w:r>
          </w:p>
        </w:tc>
      </w:tr>
      <w:tr w:rsidR="005356F1" w:rsidRPr="00BB3006" w14:paraId="1D1754AC" w14:textId="77777777" w:rsidTr="002F2A27">
        <w:trPr>
          <w:trHeight w:val="147"/>
        </w:trPr>
        <w:tc>
          <w:tcPr>
            <w:tcW w:w="675" w:type="dxa"/>
            <w:vMerge/>
            <w:shd w:val="clear" w:color="auto" w:fill="auto"/>
            <w:vAlign w:val="center"/>
          </w:tcPr>
          <w:p w14:paraId="2A878C7C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D2531C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F3C377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9E5EBB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161B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4DF268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6237" w:type="dxa"/>
            <w:vAlign w:val="center"/>
          </w:tcPr>
          <w:p w14:paraId="57596F80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Комунальне підприємство Миколаївської міської ради «Центр захисту тварин»</w:t>
            </w:r>
          </w:p>
        </w:tc>
      </w:tr>
      <w:tr w:rsidR="005356F1" w:rsidRPr="00BB3006" w14:paraId="4763715F" w14:textId="77777777" w:rsidTr="002F2A27">
        <w:trPr>
          <w:trHeight w:val="174"/>
        </w:trPr>
        <w:tc>
          <w:tcPr>
            <w:tcW w:w="675" w:type="dxa"/>
            <w:vMerge/>
            <w:shd w:val="clear" w:color="auto" w:fill="auto"/>
            <w:vAlign w:val="center"/>
          </w:tcPr>
          <w:p w14:paraId="231815CA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E08AEE9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E2B1A40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9B01F6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705B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9943FE2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7763B6A9" w14:textId="77777777" w:rsidR="005356F1" w:rsidRPr="00BB3006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КП Миколаївської міської ради «</w:t>
            </w:r>
            <w:proofErr w:type="spellStart"/>
            <w:r w:rsidRPr="00BB3006">
              <w:rPr>
                <w:sz w:val="24"/>
                <w:szCs w:val="24"/>
              </w:rPr>
              <w:t>Миколаївелектротранс</w:t>
            </w:r>
            <w:proofErr w:type="spellEnd"/>
            <w:r w:rsidRPr="00BB3006">
              <w:rPr>
                <w:sz w:val="24"/>
                <w:szCs w:val="24"/>
              </w:rPr>
              <w:t>»</w:t>
            </w:r>
          </w:p>
        </w:tc>
      </w:tr>
      <w:tr w:rsidR="005356F1" w:rsidRPr="00E10F92" w14:paraId="77889C53" w14:textId="77777777" w:rsidTr="002F2A27">
        <w:trPr>
          <w:trHeight w:val="89"/>
        </w:trPr>
        <w:tc>
          <w:tcPr>
            <w:tcW w:w="675" w:type="dxa"/>
            <w:vMerge/>
            <w:shd w:val="clear" w:color="auto" w:fill="auto"/>
            <w:vAlign w:val="center"/>
          </w:tcPr>
          <w:p w14:paraId="4D012CA4" w14:textId="77777777" w:rsidR="005356F1" w:rsidRPr="00BB3006" w:rsidRDefault="005356F1" w:rsidP="002F2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11A7555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140AFB" w14:textId="77777777" w:rsidR="005356F1" w:rsidRPr="00BB3006" w:rsidRDefault="005356F1" w:rsidP="0015486B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F61581" w14:textId="77777777" w:rsidR="005356F1" w:rsidRPr="00BB3006" w:rsidRDefault="005356F1" w:rsidP="002F2A27">
            <w:pPr>
              <w:jc w:val="center"/>
              <w:rPr>
                <w:color w:val="000000"/>
                <w:sz w:val="24"/>
                <w:szCs w:val="24"/>
              </w:rPr>
            </w:pPr>
            <w:r w:rsidRPr="00BB3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3B2EE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41176,54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0142FB9" w14:textId="77777777" w:rsidR="005356F1" w:rsidRPr="00BB3006" w:rsidRDefault="005356F1" w:rsidP="002F2A27">
            <w:pPr>
              <w:jc w:val="center"/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82353,08</w:t>
            </w:r>
          </w:p>
        </w:tc>
        <w:tc>
          <w:tcPr>
            <w:tcW w:w="6237" w:type="dxa"/>
            <w:vAlign w:val="center"/>
          </w:tcPr>
          <w:p w14:paraId="5177AF30" w14:textId="77777777" w:rsidR="005356F1" w:rsidRPr="00E10F92" w:rsidRDefault="005356F1" w:rsidP="0015486B">
            <w:pPr>
              <w:rPr>
                <w:sz w:val="24"/>
                <w:szCs w:val="24"/>
              </w:rPr>
            </w:pPr>
            <w:r w:rsidRPr="00BB3006">
              <w:rPr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</w:tbl>
    <w:p w14:paraId="4EE21ED4" w14:textId="77777777" w:rsidR="005356F1" w:rsidRPr="00D52BF2" w:rsidRDefault="005356F1" w:rsidP="005356F1">
      <w:pPr>
        <w:ind w:left="1134"/>
        <w:jc w:val="center"/>
        <w:rPr>
          <w:sz w:val="24"/>
          <w:szCs w:val="24"/>
          <w:lang w:val="ru-RU"/>
        </w:rPr>
      </w:pPr>
    </w:p>
    <w:p w14:paraId="53C57C76" w14:textId="77777777" w:rsidR="00C93E65" w:rsidRPr="00D52BF2" w:rsidRDefault="00C93E65" w:rsidP="00C93E65">
      <w:pPr>
        <w:ind w:left="1134"/>
        <w:jc w:val="center"/>
        <w:rPr>
          <w:sz w:val="24"/>
          <w:szCs w:val="24"/>
          <w:lang w:val="ru-RU"/>
        </w:rPr>
      </w:pPr>
    </w:p>
    <w:sectPr w:rsidR="00C93E65" w:rsidRPr="00D52BF2" w:rsidSect="002F2A27">
      <w:pgSz w:w="16838" w:h="11906" w:orient="landscape"/>
      <w:pgMar w:top="1701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42529"/>
    <w:rsid w:val="00062785"/>
    <w:rsid w:val="00075BB0"/>
    <w:rsid w:val="000821D3"/>
    <w:rsid w:val="000B2D25"/>
    <w:rsid w:val="000C472C"/>
    <w:rsid w:val="000C65B7"/>
    <w:rsid w:val="000D1110"/>
    <w:rsid w:val="000D7767"/>
    <w:rsid w:val="000E09FF"/>
    <w:rsid w:val="000E1238"/>
    <w:rsid w:val="00103DE1"/>
    <w:rsid w:val="00104DD2"/>
    <w:rsid w:val="00116DF6"/>
    <w:rsid w:val="001321D6"/>
    <w:rsid w:val="00134508"/>
    <w:rsid w:val="001518E2"/>
    <w:rsid w:val="0015417B"/>
    <w:rsid w:val="0016510C"/>
    <w:rsid w:val="0017544A"/>
    <w:rsid w:val="001754DB"/>
    <w:rsid w:val="00176249"/>
    <w:rsid w:val="00180182"/>
    <w:rsid w:val="001839F8"/>
    <w:rsid w:val="001936FD"/>
    <w:rsid w:val="001D7D0D"/>
    <w:rsid w:val="001F1448"/>
    <w:rsid w:val="001F302D"/>
    <w:rsid w:val="00215BDC"/>
    <w:rsid w:val="0021614F"/>
    <w:rsid w:val="0022659C"/>
    <w:rsid w:val="00231009"/>
    <w:rsid w:val="00256D9F"/>
    <w:rsid w:val="00262CDB"/>
    <w:rsid w:val="00271499"/>
    <w:rsid w:val="00281AED"/>
    <w:rsid w:val="00281B25"/>
    <w:rsid w:val="00286B76"/>
    <w:rsid w:val="002916D0"/>
    <w:rsid w:val="00292A7B"/>
    <w:rsid w:val="002A1B71"/>
    <w:rsid w:val="002A226D"/>
    <w:rsid w:val="002B6E56"/>
    <w:rsid w:val="002D5BFD"/>
    <w:rsid w:val="002F2A27"/>
    <w:rsid w:val="002F71ED"/>
    <w:rsid w:val="00302027"/>
    <w:rsid w:val="00302E4E"/>
    <w:rsid w:val="003042FC"/>
    <w:rsid w:val="003068F6"/>
    <w:rsid w:val="00314A83"/>
    <w:rsid w:val="00314AB3"/>
    <w:rsid w:val="003245EC"/>
    <w:rsid w:val="00341153"/>
    <w:rsid w:val="00343364"/>
    <w:rsid w:val="003450FB"/>
    <w:rsid w:val="00350283"/>
    <w:rsid w:val="0035243E"/>
    <w:rsid w:val="00364C76"/>
    <w:rsid w:val="003664B0"/>
    <w:rsid w:val="00377FA0"/>
    <w:rsid w:val="003850F7"/>
    <w:rsid w:val="003A565E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1142B"/>
    <w:rsid w:val="0051730B"/>
    <w:rsid w:val="00533C79"/>
    <w:rsid w:val="005356F1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05F64"/>
    <w:rsid w:val="00610156"/>
    <w:rsid w:val="00626AC2"/>
    <w:rsid w:val="00635911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1E40"/>
    <w:rsid w:val="0077657A"/>
    <w:rsid w:val="00776CEB"/>
    <w:rsid w:val="007A3652"/>
    <w:rsid w:val="007C155A"/>
    <w:rsid w:val="007D7576"/>
    <w:rsid w:val="007E1F42"/>
    <w:rsid w:val="00801563"/>
    <w:rsid w:val="00802728"/>
    <w:rsid w:val="008078DC"/>
    <w:rsid w:val="00832272"/>
    <w:rsid w:val="0087190D"/>
    <w:rsid w:val="00871BA1"/>
    <w:rsid w:val="0089025B"/>
    <w:rsid w:val="008976C2"/>
    <w:rsid w:val="008B0A81"/>
    <w:rsid w:val="008E419E"/>
    <w:rsid w:val="008E486A"/>
    <w:rsid w:val="008F2D8F"/>
    <w:rsid w:val="008F39BF"/>
    <w:rsid w:val="008F43C8"/>
    <w:rsid w:val="008F458E"/>
    <w:rsid w:val="0091587B"/>
    <w:rsid w:val="00920B05"/>
    <w:rsid w:val="00923529"/>
    <w:rsid w:val="0092730D"/>
    <w:rsid w:val="00937496"/>
    <w:rsid w:val="00952DC6"/>
    <w:rsid w:val="00971539"/>
    <w:rsid w:val="00977382"/>
    <w:rsid w:val="0098653B"/>
    <w:rsid w:val="00992BDC"/>
    <w:rsid w:val="009B341D"/>
    <w:rsid w:val="009F7708"/>
    <w:rsid w:val="00A46C6B"/>
    <w:rsid w:val="00A5560B"/>
    <w:rsid w:val="00A607CE"/>
    <w:rsid w:val="00A61DDC"/>
    <w:rsid w:val="00A835BB"/>
    <w:rsid w:val="00A87F3E"/>
    <w:rsid w:val="00A9115D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3C5A"/>
    <w:rsid w:val="00B2588D"/>
    <w:rsid w:val="00B25F60"/>
    <w:rsid w:val="00B267BC"/>
    <w:rsid w:val="00B26F75"/>
    <w:rsid w:val="00B27607"/>
    <w:rsid w:val="00B53F95"/>
    <w:rsid w:val="00B728AE"/>
    <w:rsid w:val="00BB3006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243E"/>
    <w:rsid w:val="00CC2506"/>
    <w:rsid w:val="00CD4D7D"/>
    <w:rsid w:val="00CE0094"/>
    <w:rsid w:val="00CE0A78"/>
    <w:rsid w:val="00CF13E2"/>
    <w:rsid w:val="00CF1AC2"/>
    <w:rsid w:val="00D01EFF"/>
    <w:rsid w:val="00D30A98"/>
    <w:rsid w:val="00D315B3"/>
    <w:rsid w:val="00D31A7D"/>
    <w:rsid w:val="00D40950"/>
    <w:rsid w:val="00D40A84"/>
    <w:rsid w:val="00D52BF2"/>
    <w:rsid w:val="00D675F5"/>
    <w:rsid w:val="00D75EDE"/>
    <w:rsid w:val="00D80D64"/>
    <w:rsid w:val="00D9450C"/>
    <w:rsid w:val="00DA10CA"/>
    <w:rsid w:val="00DA527B"/>
    <w:rsid w:val="00DE5F3B"/>
    <w:rsid w:val="00DF16EB"/>
    <w:rsid w:val="00E10C61"/>
    <w:rsid w:val="00E10F92"/>
    <w:rsid w:val="00E20574"/>
    <w:rsid w:val="00E3594A"/>
    <w:rsid w:val="00E36AD5"/>
    <w:rsid w:val="00E37E59"/>
    <w:rsid w:val="00E45D4A"/>
    <w:rsid w:val="00E526EB"/>
    <w:rsid w:val="00E637E3"/>
    <w:rsid w:val="00E70CB6"/>
    <w:rsid w:val="00E75193"/>
    <w:rsid w:val="00E8483F"/>
    <w:rsid w:val="00EC4501"/>
    <w:rsid w:val="00EC5645"/>
    <w:rsid w:val="00EC571D"/>
    <w:rsid w:val="00EE13A7"/>
    <w:rsid w:val="00EF17D6"/>
    <w:rsid w:val="00EF3CF4"/>
    <w:rsid w:val="00F014D9"/>
    <w:rsid w:val="00F0614F"/>
    <w:rsid w:val="00F213A8"/>
    <w:rsid w:val="00F4186C"/>
    <w:rsid w:val="00F558BD"/>
    <w:rsid w:val="00F60177"/>
    <w:rsid w:val="00F668AE"/>
    <w:rsid w:val="00F704A1"/>
    <w:rsid w:val="00F77750"/>
    <w:rsid w:val="00F83013"/>
    <w:rsid w:val="00FA0E50"/>
    <w:rsid w:val="00FB1B9A"/>
    <w:rsid w:val="00FC22F8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812"/>
  <w15:docId w15:val="{54222C89-5821-4F38-B2EB-1C0211F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2023-05-08T08:37:00Z</dcterms:created>
  <dcterms:modified xsi:type="dcterms:W3CDTF">2023-05-08T08:37:00Z</dcterms:modified>
</cp:coreProperties>
</file>