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Інформація про процедури публічних закупівель, замовником яких є управління державного архітектурно-будівельного контролю Миколаївської міської ради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( з 14.11.2023р.)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lang w:val="uk-UA"/>
        </w:rPr>
      </w:pPr>
      <w:r>
        <w:rPr>
          <w:sz w:val="24"/>
          <w:szCs w:val="24"/>
        </w:rPr>
      </w:r>
    </w:p>
    <w:tbl>
      <w:tblPr>
        <w:tblStyle w:val="a3"/>
        <w:tblpPr w:bottomFromText="0" w:horzAnchor="margin" w:leftFromText="180" w:rightFromText="180" w:tblpX="0" w:tblpY="254" w:topFromText="0" w:vertAnchor="text"/>
        <w:tblW w:w="957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3968"/>
        <w:gridCol w:w="2393"/>
        <w:gridCol w:w="2392"/>
      </w:tblGrid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Назва предмету закупівлі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Очікувана вартість (грн.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)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Тип процедури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3968" w:type="dxa"/>
            <w:tcBorders/>
          </w:tcPr>
          <w:p>
            <w:pPr>
              <w:pStyle w:val="2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hyperlink r:id="rId2">
              <w:r>
                <w:rPr>
                  <w:rStyle w:val="-"/>
                  <w:rFonts w:eastAsia="Calibri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4"/>
                  <w:u w:val="none"/>
                  <w:effect w:val="none"/>
                  <w:lang w:val="uk-UA" w:eastAsia="en-US" w:bidi="ar-SA"/>
                </w:rPr>
                <w:t>Вивезення твердих побутових відходів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en-US" w:bidi="ar-SA"/>
              </w:rPr>
              <w:t>948.60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DFEFD" w:val="clear"/>
                <w:lang w:val="uk-UA" w:eastAsia="en-US" w:bidi="ar-SA"/>
              </w:rPr>
              <w:t>Закупівля без використання електронної системи</w:t>
            </w:r>
          </w:p>
        </w:tc>
      </w:tr>
      <w:tr>
        <w:trPr/>
        <w:tc>
          <w:tcPr>
            <w:tcW w:w="817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3968" w:type="dxa"/>
            <w:tcBorders>
              <w:top w:val="nil"/>
            </w:tcBorders>
          </w:tcPr>
          <w:p>
            <w:pPr>
              <w:pStyle w:val="2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uk-UA" w:eastAsia="en-US" w:bidi="ar-SA"/>
              </w:rPr>
            </w:pPr>
            <w:hyperlink r:id="rId3">
              <w:r>
                <w:rPr>
                  <w:rStyle w:val="-"/>
                  <w:rFonts w:eastAsia="Calibri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4"/>
                  <w:u w:val="none"/>
                  <w:effect w:val="none"/>
                  <w:lang w:val="uk-UA" w:eastAsia="en-US" w:bidi="ar-SA"/>
                </w:rPr>
                <w:t>Охорона майна та обслуговування сигналізації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en-US" w:bidi="ar-SA"/>
              </w:rPr>
              <w:t>19`800.00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</w:p>
        </w:tc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DFEFD" w:val="clear"/>
                <w:lang w:val="uk-UA" w:eastAsia="en-US" w:bidi="ar-SA"/>
              </w:rPr>
              <w:t>Закупівля без використання електронної системи</w:t>
            </w:r>
          </w:p>
        </w:tc>
      </w:tr>
      <w:tr>
        <w:trPr/>
        <w:tc>
          <w:tcPr>
            <w:tcW w:w="817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3.</w:t>
            </w:r>
          </w:p>
        </w:tc>
        <w:tc>
          <w:tcPr>
            <w:tcW w:w="3968" w:type="dxa"/>
            <w:tcBorders>
              <w:top w:val="nil"/>
            </w:tcBorders>
          </w:tcPr>
          <w:p>
            <w:pPr>
              <w:pStyle w:val="2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uk-UA" w:eastAsia="en-US" w:bidi="ar-SA"/>
              </w:rPr>
            </w:pPr>
            <w:hyperlink r:id="rId4">
              <w:r>
                <w:rPr>
                  <w:rStyle w:val="-"/>
                  <w:rFonts w:eastAsia="Calibri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4"/>
                  <w:u w:val="none"/>
                  <w:effect w:val="none"/>
                  <w:lang w:val="uk-UA" w:eastAsia="en-US" w:bidi="ar-SA"/>
                </w:rPr>
                <w:t>Послуги з обслуговування автомобільного транспорту (послуги із зарядки акумуляторної батареї електричних ТЗ замовника з використанням зарядних станцій)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en-US" w:bidi="ar-SA"/>
              </w:rPr>
              <w:t>17`100.00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</w:p>
        </w:tc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DFEFD" w:val="clear"/>
                <w:lang w:val="uk-UA" w:eastAsia="en-US" w:bidi="ar-SA"/>
              </w:rPr>
              <w:t>Закупівля без використання електронної системи</w:t>
            </w:r>
          </w:p>
        </w:tc>
      </w:tr>
      <w:tr>
        <w:trPr/>
        <w:tc>
          <w:tcPr>
            <w:tcW w:w="817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4.</w:t>
            </w:r>
          </w:p>
        </w:tc>
        <w:tc>
          <w:tcPr>
            <w:tcW w:w="3968" w:type="dxa"/>
            <w:tcBorders>
              <w:top w:val="nil"/>
            </w:tcBorders>
          </w:tcPr>
          <w:p>
            <w:pPr>
              <w:pStyle w:val="2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uk-UA" w:eastAsia="en-US" w:bidi="ar-SA"/>
              </w:rPr>
            </w:pPr>
            <w:hyperlink r:id="rId5">
              <w:r>
                <w:rPr>
                  <w:rStyle w:val="-"/>
                  <w:rFonts w:eastAsia="Calibri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4"/>
                  <w:u w:val="none"/>
                  <w:effect w:val="none"/>
                  <w:lang w:val="uk-UA" w:eastAsia="en-US" w:bidi="ar-SA"/>
                </w:rPr>
                <w:t>Послуги щодо інформаційно-технічного супроводу системи ipLex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en-US" w:bidi="ar-SA"/>
              </w:rPr>
              <w:t>7`200.00</w:t>
            </w:r>
            <w:r>
              <w:rPr>
                <w:rFonts w:eastAsia="Calibri" w:cs="Times New Roman" w:ascii="Times New Roman" w:hAnsi="Times New Roman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</w:p>
        </w:tc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DFEFD" w:val="clear"/>
                <w:lang w:val="uk-UA" w:eastAsia="en-US" w:bidi="ar-SA"/>
              </w:rPr>
              <w:t>Закупівля без використання електронної системи</w:t>
            </w:r>
          </w:p>
        </w:tc>
      </w:tr>
      <w:tr>
        <w:trPr/>
        <w:tc>
          <w:tcPr>
            <w:tcW w:w="817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5.</w:t>
            </w:r>
          </w:p>
        </w:tc>
        <w:tc>
          <w:tcPr>
            <w:tcW w:w="3968" w:type="dxa"/>
            <w:tcBorders>
              <w:top w:val="nil"/>
            </w:tcBorders>
          </w:tcPr>
          <w:p>
            <w:pPr>
              <w:pStyle w:val="2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uk-UA" w:eastAsia="en-US" w:bidi="ar-SA"/>
              </w:rPr>
            </w:pPr>
            <w:hyperlink r:id="rId6">
              <w:r>
                <w:rPr>
                  <w:rStyle w:val="-"/>
                  <w:rFonts w:eastAsia="Calibri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4"/>
                  <w:u w:val="none"/>
                  <w:effect w:val="none"/>
                  <w:lang w:val="uk-UA" w:eastAsia="en-US" w:bidi="ar-SA"/>
                </w:rPr>
                <w:t>Послуги зі спостереження за станом та технічне обслуговування сигналізації, що встановлені на об’єкті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en-US" w:bidi="ar-SA"/>
              </w:rPr>
              <w:t>5`400.00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</w:p>
        </w:tc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DFEFD" w:val="clear"/>
                <w:lang w:val="uk-UA" w:eastAsia="en-US" w:bidi="ar-SA"/>
              </w:rPr>
              <w:t>Закупівля без використання електронної системи</w:t>
            </w:r>
          </w:p>
        </w:tc>
      </w:tr>
      <w:tr>
        <w:trPr/>
        <w:tc>
          <w:tcPr>
            <w:tcW w:w="817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6.</w:t>
            </w:r>
          </w:p>
        </w:tc>
        <w:tc>
          <w:tcPr>
            <w:tcW w:w="3968" w:type="dxa"/>
            <w:tcBorders>
              <w:top w:val="nil"/>
            </w:tcBorders>
          </w:tcPr>
          <w:p>
            <w:pPr>
              <w:pStyle w:val="2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uk-UA" w:eastAsia="en-US" w:bidi="ar-SA"/>
              </w:rPr>
            </w:pPr>
            <w:hyperlink r:id="rId7">
              <w:r>
                <w:rPr>
                  <w:rStyle w:val="-"/>
                  <w:rFonts w:eastAsia="Calibri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4"/>
                  <w:u w:val="none"/>
                  <w:effect w:val="none"/>
                  <w:lang w:val="uk-UA" w:eastAsia="en-US" w:bidi="ar-SA"/>
                </w:rPr>
                <w:t>Послуги з цілодобового спостереження за протипожежним станом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en-US" w:bidi="ar-SA"/>
              </w:rPr>
              <w:t>3`600.00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</w:p>
        </w:tc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DFEFD" w:val="clear"/>
                <w:lang w:val="uk-UA" w:eastAsia="en-US" w:bidi="ar-SA"/>
              </w:rPr>
              <w:t>Закупівля без використання електронної системи</w:t>
            </w:r>
          </w:p>
        </w:tc>
      </w:tr>
      <w:tr>
        <w:trPr/>
        <w:tc>
          <w:tcPr>
            <w:tcW w:w="817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7.</w:t>
            </w:r>
          </w:p>
        </w:tc>
        <w:tc>
          <w:tcPr>
            <w:tcW w:w="3968" w:type="dxa"/>
            <w:tcBorders>
              <w:top w:val="nil"/>
            </w:tcBorders>
          </w:tcPr>
          <w:p>
            <w:pPr>
              <w:pStyle w:val="2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4"/>
                <w:szCs w:val="24"/>
                <w:u w:val="none"/>
                <w:effect w:val="none"/>
                <w:lang w:val="uk-UA" w:eastAsia="en-US" w:bidi="ar-SA"/>
              </w:rPr>
              <w:t>П</w:t>
            </w:r>
            <w:hyperlink r:id="rId8">
              <w:r>
                <w:rPr>
                  <w:rStyle w:val="-"/>
                  <w:rFonts w:eastAsia="Calibri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4"/>
                  <w:u w:val="none"/>
                  <w:effect w:val="none"/>
                  <w:lang w:val="uk-UA" w:eastAsia="en-US" w:bidi="ar-SA"/>
                </w:rPr>
                <w:t>ослуги з централізованого водопостачання та водовідведення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en-US" w:bidi="ar-SA"/>
              </w:rPr>
              <w:t>3`176.00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</w:p>
        </w:tc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DFEFD" w:val="clear"/>
                <w:lang w:val="uk-UA" w:eastAsia="en-US" w:bidi="ar-SA"/>
              </w:rPr>
              <w:t>Закупівля без використання електронної системи</w:t>
            </w:r>
          </w:p>
        </w:tc>
      </w:tr>
      <w:tr>
        <w:trPr/>
        <w:tc>
          <w:tcPr>
            <w:tcW w:w="817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8.</w:t>
            </w:r>
          </w:p>
        </w:tc>
        <w:tc>
          <w:tcPr>
            <w:tcW w:w="3968" w:type="dxa"/>
            <w:tcBorders>
              <w:top w:val="nil"/>
            </w:tcBorders>
          </w:tcPr>
          <w:p>
            <w:pPr>
              <w:pStyle w:val="2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uk-UA" w:eastAsia="en-US" w:bidi="ar-SA"/>
              </w:rPr>
            </w:pPr>
            <w:hyperlink r:id="rId9">
              <w:r>
                <w:rPr>
                  <w:rStyle w:val="-"/>
                  <w:rFonts w:eastAsia="Calibri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4"/>
                  <w:u w:val="none"/>
                  <w:effect w:val="none"/>
                  <w:lang w:val="uk-UA" w:eastAsia="en-US" w:bidi="ar-SA"/>
                </w:rPr>
                <w:t>Послуги з прибирання приміщення</w:t>
              </w:r>
            </w:hyperlink>
          </w:p>
          <w:p>
            <w:pPr>
              <w:pStyle w:val="Style14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en-US" w:bidi="ar-SA"/>
              </w:rPr>
              <w:t>48`000.00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</w:p>
        </w:tc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DFEFD" w:val="clear"/>
                <w:lang w:val="uk-UA" w:eastAsia="en-US" w:bidi="ar-SA"/>
              </w:rPr>
              <w:t>Закупівля без використання електронної системи</w:t>
            </w:r>
          </w:p>
        </w:tc>
      </w:tr>
      <w:tr>
        <w:trPr/>
        <w:tc>
          <w:tcPr>
            <w:tcW w:w="817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9.</w:t>
            </w:r>
          </w:p>
        </w:tc>
        <w:tc>
          <w:tcPr>
            <w:tcW w:w="3968" w:type="dxa"/>
            <w:tcBorders>
              <w:top w:val="nil"/>
            </w:tcBorders>
          </w:tcPr>
          <w:p>
            <w:pPr>
              <w:pStyle w:val="2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uk-UA" w:eastAsia="en-US" w:bidi="ar-SA"/>
              </w:rPr>
            </w:pPr>
            <w:hyperlink r:id="rId10">
              <w:r>
                <w:rPr>
                  <w:rStyle w:val="-"/>
                  <w:rFonts w:eastAsia="Calibri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4"/>
                  <w:u w:val="none"/>
                  <w:effect w:val="none"/>
                  <w:lang w:val="uk-UA" w:eastAsia="en-US" w:bidi="ar-SA"/>
                </w:rPr>
                <w:t>Послуги з передачі даних і повідомлень (телекомунікаційні послуги)</w:t>
              </w:r>
            </w:hyperlink>
          </w:p>
          <w:p>
            <w:pPr>
              <w:pStyle w:val="Style14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en-US" w:bidi="ar-SA"/>
              </w:rPr>
              <w:t>3`600.00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</w:p>
        </w:tc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DFEFD" w:val="clear"/>
                <w:lang w:val="uk-UA" w:eastAsia="en-US" w:bidi="ar-SA"/>
              </w:rPr>
              <w:t>Закупівля без використання електронної системи</w:t>
            </w:r>
          </w:p>
        </w:tc>
      </w:tr>
      <w:tr>
        <w:trPr/>
        <w:tc>
          <w:tcPr>
            <w:tcW w:w="817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10.</w:t>
            </w:r>
          </w:p>
        </w:tc>
        <w:tc>
          <w:tcPr>
            <w:tcW w:w="3968" w:type="dxa"/>
            <w:tcBorders>
              <w:top w:val="nil"/>
            </w:tcBorders>
          </w:tcPr>
          <w:p>
            <w:pPr>
              <w:pStyle w:val="2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uk-UA" w:eastAsia="en-US" w:bidi="ar-SA"/>
              </w:rPr>
            </w:pPr>
            <w:hyperlink r:id="rId11">
              <w:r>
                <w:rPr>
                  <w:rStyle w:val="-"/>
                  <w:rFonts w:eastAsia="Calibri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4"/>
                  <w:u w:val="none"/>
                  <w:effect w:val="none"/>
                  <w:lang w:val="uk-UA" w:eastAsia="en-US" w:bidi="ar-SA"/>
                </w:rPr>
                <w:t>Технічне обслуговування систем автоматичної пожежної сигналізації</w:t>
              </w:r>
            </w:hyperlink>
          </w:p>
          <w:p>
            <w:pPr>
              <w:pStyle w:val="Style14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en-US" w:bidi="ar-SA"/>
              </w:rPr>
              <w:t>4`200.00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</w:p>
        </w:tc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DFEFD" w:val="clear"/>
                <w:lang w:val="uk-UA" w:eastAsia="en-US" w:bidi="ar-SA"/>
              </w:rPr>
              <w:t>Закупівля без використання електронної системи</w:t>
            </w:r>
          </w:p>
        </w:tc>
      </w:tr>
      <w:tr>
        <w:trPr/>
        <w:tc>
          <w:tcPr>
            <w:tcW w:w="817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11.</w:t>
            </w:r>
          </w:p>
        </w:tc>
        <w:tc>
          <w:tcPr>
            <w:tcW w:w="3968" w:type="dxa"/>
            <w:tcBorders>
              <w:top w:val="nil"/>
            </w:tcBorders>
          </w:tcPr>
          <w:p>
            <w:pPr>
              <w:pStyle w:val="2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4"/>
                <w:szCs w:val="24"/>
                <w:u w:val="none"/>
                <w:effect w:val="none"/>
                <w:lang w:val="uk-UA" w:eastAsia="en-US" w:bidi="ar-SA"/>
              </w:rPr>
              <w:t>По</w:t>
            </w:r>
            <w:hyperlink r:id="rId12">
              <w:r>
                <w:rPr>
                  <w:rStyle w:val="-"/>
                  <w:rFonts w:eastAsia="Calibri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4"/>
                  <w:u w:val="none"/>
                  <w:effect w:val="none"/>
                  <w:lang w:val="uk-UA" w:eastAsia="en-US" w:bidi="ar-SA"/>
                </w:rPr>
                <w:t>слуги з передавання даних і повідомлень (електронні комунікаційні послуги)</w:t>
              </w:r>
            </w:hyperlink>
          </w:p>
          <w:p>
            <w:pPr>
              <w:pStyle w:val="Style14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en-US" w:bidi="ar-SA"/>
              </w:rPr>
              <w:t>18`768.53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</w:p>
        </w:tc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DFEFD" w:val="clear"/>
                <w:lang w:val="uk-UA" w:eastAsia="en-US" w:bidi="ar-SA"/>
              </w:rPr>
              <w:t>Закупівля без використання електронної системи</w:t>
            </w:r>
          </w:p>
        </w:tc>
      </w:tr>
      <w:tr>
        <w:trPr/>
        <w:tc>
          <w:tcPr>
            <w:tcW w:w="817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12.</w:t>
            </w:r>
          </w:p>
        </w:tc>
        <w:tc>
          <w:tcPr>
            <w:tcW w:w="3968" w:type="dxa"/>
            <w:tcBorders>
              <w:top w:val="nil"/>
            </w:tcBorders>
          </w:tcPr>
          <w:p>
            <w:pPr>
              <w:pStyle w:val="2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uk-UA" w:eastAsia="en-US" w:bidi="ar-SA"/>
              </w:rPr>
            </w:pPr>
            <w:hyperlink r:id="rId13">
              <w:r>
                <w:rPr>
                  <w:rStyle w:val="-"/>
                  <w:rFonts w:eastAsia="Calibri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4"/>
                  <w:u w:val="none"/>
                  <w:effect w:val="none"/>
                  <w:lang w:val="uk-UA" w:eastAsia="en-US" w:bidi="ar-SA"/>
                </w:rPr>
                <w:t>Електрична енергія</w:t>
              </w:r>
            </w:hyperlink>
          </w:p>
          <w:p>
            <w:pPr>
              <w:pStyle w:val="Style14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en-US" w:bidi="ar-SA"/>
              </w:rPr>
              <w:t>54`158.00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</w:p>
        </w:tc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DFEFD" w:val="clear"/>
                <w:lang w:val="uk-UA" w:eastAsia="en-US" w:bidi="ar-SA"/>
              </w:rPr>
              <w:t>Закупівля без використання електронної системи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-">
    <w:name w:val="Hyperlink"/>
    <w:rPr>
      <w:color w:val="000080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65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zo.com.ua/plans/28947150" TargetMode="External"/><Relationship Id="rId3" Type="http://schemas.openxmlformats.org/officeDocument/2006/relationships/hyperlink" Target="https://www.dzo.com.ua/plans/28947412" TargetMode="External"/><Relationship Id="rId4" Type="http://schemas.openxmlformats.org/officeDocument/2006/relationships/hyperlink" Target="https://www.dzo.com.ua/plans/28947860" TargetMode="External"/><Relationship Id="rId5" Type="http://schemas.openxmlformats.org/officeDocument/2006/relationships/hyperlink" Target="https://www.dzo.com.ua/plans/28947900" TargetMode="External"/><Relationship Id="rId6" Type="http://schemas.openxmlformats.org/officeDocument/2006/relationships/hyperlink" Target="https://www.dzo.com.ua/plans/28948091" TargetMode="External"/><Relationship Id="rId7" Type="http://schemas.openxmlformats.org/officeDocument/2006/relationships/hyperlink" Target="https://www.dzo.com.ua/plans/28950040" TargetMode="External"/><Relationship Id="rId8" Type="http://schemas.openxmlformats.org/officeDocument/2006/relationships/hyperlink" Target="https://www.dzo.com.ua/plans/29007785" TargetMode="External"/><Relationship Id="rId9" Type="http://schemas.openxmlformats.org/officeDocument/2006/relationships/hyperlink" Target="https://www.dzo.com.ua/plans/29020241" TargetMode="External"/><Relationship Id="rId10" Type="http://schemas.openxmlformats.org/officeDocument/2006/relationships/hyperlink" Target="https://www.dzo.com.ua/plans/29020451" TargetMode="External"/><Relationship Id="rId11" Type="http://schemas.openxmlformats.org/officeDocument/2006/relationships/hyperlink" Target="https://www.dzo.com.ua/plans/29020547" TargetMode="External"/><Relationship Id="rId12" Type="http://schemas.openxmlformats.org/officeDocument/2006/relationships/hyperlink" Target="https://www.dzo.com.ua/plans/29021082" TargetMode="External"/><Relationship Id="rId13" Type="http://schemas.openxmlformats.org/officeDocument/2006/relationships/hyperlink" Target="https://www.dzo.com.ua/plans/28721818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LibreOffice/7.5.9.2$Windows_X86_64 LibreOffice_project/cdeefe45c17511d326101eed8008ac4092f278a9</Application>
  <AppVersion>15.0000</AppVersion>
  <Pages>2</Pages>
  <Words>198</Words>
  <Characters>1529</Characters>
  <CharactersWithSpaces>1686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2023-12-04T13:22:00Z</dcterms:created>
  <dc:creator>User</dc:creator>
  <dc:description/>
  <dc:language>en-US</dc:language>
  <cp:lastModifiedBy/>
  <dcterms:modified xsi:type="dcterms:W3CDTF">2024-01-29T09:30:54Z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