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DF" w:rsidRPr="00C1537D" w:rsidRDefault="00FD6EDF" w:rsidP="00C1537D">
      <w:pPr>
        <w:pStyle w:val="20"/>
        <w:shd w:val="clear" w:color="auto" w:fill="auto"/>
        <w:spacing w:after="0" w:line="240" w:lineRule="auto"/>
        <w:ind w:firstLine="567"/>
        <w:rPr>
          <w:b/>
          <w:sz w:val="28"/>
          <w:szCs w:val="28"/>
        </w:rPr>
      </w:pPr>
      <w:r w:rsidRPr="00C1537D">
        <w:rPr>
          <w:b/>
          <w:sz w:val="28"/>
          <w:szCs w:val="28"/>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FD6EDF" w:rsidRPr="00C1537D" w:rsidRDefault="00FD6EDF" w:rsidP="00FD6EDF">
      <w:pPr>
        <w:pStyle w:val="20"/>
        <w:shd w:val="clear" w:color="auto" w:fill="auto"/>
        <w:spacing w:after="0" w:line="240" w:lineRule="auto"/>
        <w:ind w:firstLine="567"/>
        <w:jc w:val="both"/>
        <w:rPr>
          <w:sz w:val="28"/>
          <w:szCs w:val="28"/>
          <w:highlight w:val="yellow"/>
        </w:rPr>
      </w:pPr>
    </w:p>
    <w:p w:rsidR="00FD6EDF" w:rsidRPr="00C1537D" w:rsidRDefault="00FD6EDF" w:rsidP="00FD6EDF">
      <w:pPr>
        <w:pStyle w:val="20"/>
        <w:shd w:val="clear" w:color="auto" w:fill="auto"/>
        <w:spacing w:after="0" w:line="240" w:lineRule="auto"/>
        <w:ind w:firstLine="600"/>
        <w:jc w:val="both"/>
        <w:rPr>
          <w:sz w:val="28"/>
          <w:szCs w:val="28"/>
        </w:rPr>
      </w:pPr>
      <w:r w:rsidRPr="00C1537D">
        <w:rPr>
          <w:sz w:val="28"/>
          <w:szCs w:val="28"/>
        </w:rPr>
        <w:t>Система моніторингу довкілля -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науково-обґрунтованих рекомендацій для прийняття рішень про запобігання негативним змінам стану довкілля та дотримання вимог екологічної безпеки.</w:t>
      </w:r>
    </w:p>
    <w:p w:rsidR="00FD6EDF" w:rsidRPr="00C1537D" w:rsidRDefault="00FD6EDF" w:rsidP="00FD6EDF">
      <w:pPr>
        <w:pStyle w:val="20"/>
        <w:shd w:val="clear" w:color="auto" w:fill="auto"/>
        <w:spacing w:after="0" w:line="240" w:lineRule="auto"/>
        <w:ind w:firstLine="600"/>
        <w:jc w:val="both"/>
        <w:rPr>
          <w:sz w:val="28"/>
          <w:szCs w:val="28"/>
        </w:rPr>
      </w:pPr>
      <w:r w:rsidRPr="00C1537D">
        <w:rPr>
          <w:sz w:val="28"/>
          <w:szCs w:val="28"/>
        </w:rPr>
        <w:t>При здійсненні моніторингу основну увагу належить приділяти заходам передбаченим в сфері охороні навколишнього природного середовища.</w:t>
      </w:r>
    </w:p>
    <w:p w:rsidR="00FD6EDF" w:rsidRPr="00C1537D" w:rsidRDefault="00FD6EDF" w:rsidP="00FD6EDF">
      <w:pPr>
        <w:pStyle w:val="20"/>
        <w:shd w:val="clear" w:color="auto" w:fill="auto"/>
        <w:spacing w:after="0" w:line="240" w:lineRule="auto"/>
        <w:ind w:firstLine="600"/>
        <w:jc w:val="both"/>
        <w:rPr>
          <w:sz w:val="28"/>
          <w:szCs w:val="28"/>
        </w:rPr>
      </w:pPr>
      <w:r w:rsidRPr="00C1537D">
        <w:rPr>
          <w:sz w:val="28"/>
          <w:szCs w:val="28"/>
        </w:rPr>
        <w:t>Організація моніторингу вимагає визначення того, хто повинен здійснювати моніторинг, хто повинен забезпечувати доступ до результатів, що має бути предметом моніторингу, яка інформація повинна оприлюднюватися (безпосередні дані вимірювань або результати їх аналізу), де слід здійснювати моніторинг, з якою періодичністю й протягом якого часу, коли слід оприлюднити результати, які методи моніторингу та поширення інформації слід використовувати. 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 Для організації моніторингу виконання Програми по кожному запланованому до виконання заходу визначено відповідального виконавця - структурний підрозділ Миколаївської міської ради, який повинен здійснювати моніторинг ефективності впровадження заходів Програми.</w:t>
      </w:r>
    </w:p>
    <w:p w:rsidR="00FD6EDF" w:rsidRPr="00C1537D" w:rsidRDefault="00FD6EDF" w:rsidP="00FD6EDF">
      <w:pPr>
        <w:pStyle w:val="20"/>
        <w:shd w:val="clear" w:color="auto" w:fill="auto"/>
        <w:spacing w:after="0" w:line="240" w:lineRule="auto"/>
        <w:ind w:firstLine="600"/>
        <w:jc w:val="both"/>
        <w:rPr>
          <w:sz w:val="28"/>
          <w:szCs w:val="28"/>
        </w:rPr>
      </w:pPr>
      <w:r w:rsidRPr="00C1537D">
        <w:rPr>
          <w:sz w:val="28"/>
          <w:szCs w:val="28"/>
        </w:rPr>
        <w:t>Підсумки моніторингу підводяться один раз рік у вигляді звітів. Фіксуються та аналізуються:</w:t>
      </w:r>
    </w:p>
    <w:p w:rsidR="00FD6EDF" w:rsidRPr="00C1537D" w:rsidRDefault="00FD6EDF" w:rsidP="00FD6EDF">
      <w:pPr>
        <w:pStyle w:val="20"/>
        <w:shd w:val="clear" w:color="auto" w:fill="auto"/>
        <w:tabs>
          <w:tab w:val="left" w:pos="942"/>
        </w:tabs>
        <w:spacing w:after="0" w:line="240" w:lineRule="auto"/>
        <w:ind w:firstLine="600"/>
        <w:jc w:val="both"/>
        <w:rPr>
          <w:sz w:val="28"/>
          <w:szCs w:val="28"/>
        </w:rPr>
      </w:pPr>
      <w:r w:rsidRPr="00C1537D">
        <w:rPr>
          <w:sz w:val="28"/>
          <w:szCs w:val="28"/>
        </w:rPr>
        <w:t>а)</w:t>
      </w:r>
      <w:r w:rsidRPr="00C1537D">
        <w:rPr>
          <w:sz w:val="28"/>
          <w:szCs w:val="28"/>
        </w:rPr>
        <w:tab/>
        <w:t>ступінь виконання кожного завдання Програми;</w:t>
      </w:r>
    </w:p>
    <w:p w:rsidR="00FD6EDF" w:rsidRPr="00C1537D" w:rsidRDefault="00FD6EDF" w:rsidP="00FD6EDF">
      <w:pPr>
        <w:pStyle w:val="20"/>
        <w:shd w:val="clear" w:color="auto" w:fill="auto"/>
        <w:tabs>
          <w:tab w:val="left" w:pos="956"/>
        </w:tabs>
        <w:spacing w:after="0" w:line="240" w:lineRule="auto"/>
        <w:ind w:firstLine="600"/>
        <w:jc w:val="both"/>
        <w:rPr>
          <w:sz w:val="28"/>
          <w:szCs w:val="28"/>
        </w:rPr>
      </w:pPr>
      <w:r w:rsidRPr="00C1537D">
        <w:rPr>
          <w:sz w:val="28"/>
          <w:szCs w:val="28"/>
        </w:rPr>
        <w:t>б)</w:t>
      </w:r>
      <w:r w:rsidRPr="00C1537D">
        <w:rPr>
          <w:sz w:val="28"/>
          <w:szCs w:val="28"/>
        </w:rPr>
        <w:tab/>
        <w:t>невиконані завдання, причини відхилення, пропозиції;</w:t>
      </w:r>
    </w:p>
    <w:p w:rsidR="00FD6EDF" w:rsidRPr="00C1537D" w:rsidRDefault="00FD6EDF" w:rsidP="00FD6EDF">
      <w:pPr>
        <w:pStyle w:val="20"/>
        <w:shd w:val="clear" w:color="auto" w:fill="auto"/>
        <w:tabs>
          <w:tab w:val="left" w:pos="956"/>
        </w:tabs>
        <w:spacing w:after="0" w:line="240" w:lineRule="auto"/>
        <w:ind w:firstLine="600"/>
        <w:jc w:val="both"/>
        <w:rPr>
          <w:sz w:val="28"/>
          <w:szCs w:val="28"/>
        </w:rPr>
      </w:pPr>
      <w:r w:rsidRPr="00C1537D">
        <w:rPr>
          <w:sz w:val="28"/>
          <w:szCs w:val="28"/>
        </w:rPr>
        <w:t>в)</w:t>
      </w:r>
      <w:r w:rsidRPr="00C1537D">
        <w:rPr>
          <w:sz w:val="28"/>
          <w:szCs w:val="28"/>
        </w:rPr>
        <w:tab/>
        <w:t>дані за індикаторами, що відображають результат реалізації заходів;</w:t>
      </w:r>
    </w:p>
    <w:p w:rsidR="00FD6EDF" w:rsidRPr="00C1537D" w:rsidRDefault="00FD6EDF" w:rsidP="00FD6EDF">
      <w:pPr>
        <w:pStyle w:val="20"/>
        <w:shd w:val="clear" w:color="auto" w:fill="auto"/>
        <w:tabs>
          <w:tab w:val="left" w:pos="956"/>
        </w:tabs>
        <w:spacing w:after="0" w:line="240" w:lineRule="auto"/>
        <w:ind w:firstLine="600"/>
        <w:jc w:val="both"/>
        <w:rPr>
          <w:sz w:val="28"/>
          <w:szCs w:val="28"/>
        </w:rPr>
      </w:pPr>
      <w:r w:rsidRPr="00C1537D">
        <w:rPr>
          <w:sz w:val="28"/>
          <w:szCs w:val="28"/>
        </w:rPr>
        <w:t>г)</w:t>
      </w:r>
      <w:r w:rsidRPr="00C1537D">
        <w:rPr>
          <w:sz w:val="28"/>
          <w:szCs w:val="28"/>
        </w:rPr>
        <w:tab/>
        <w:t>оцінка потреб у фінансуванні;</w:t>
      </w:r>
    </w:p>
    <w:p w:rsidR="00FD6EDF" w:rsidRPr="00C1537D" w:rsidRDefault="00FD6EDF" w:rsidP="00FD6EDF">
      <w:pPr>
        <w:pStyle w:val="20"/>
        <w:shd w:val="clear" w:color="auto" w:fill="auto"/>
        <w:tabs>
          <w:tab w:val="left" w:pos="966"/>
        </w:tabs>
        <w:spacing w:after="0" w:line="240" w:lineRule="auto"/>
        <w:ind w:firstLine="600"/>
        <w:jc w:val="both"/>
        <w:rPr>
          <w:sz w:val="28"/>
          <w:szCs w:val="28"/>
        </w:rPr>
      </w:pPr>
      <w:r w:rsidRPr="00C1537D">
        <w:rPr>
          <w:sz w:val="28"/>
          <w:szCs w:val="28"/>
        </w:rPr>
        <w:t>д)</w:t>
      </w:r>
      <w:r w:rsidRPr="00C1537D">
        <w:rPr>
          <w:sz w:val="28"/>
          <w:szCs w:val="28"/>
        </w:rPr>
        <w:tab/>
        <w:t>пропозиції щодо вдосконалення діючої системи моніторингу.</w:t>
      </w:r>
    </w:p>
    <w:p w:rsidR="00FD6EDF" w:rsidRPr="00C1537D" w:rsidRDefault="00FD6EDF" w:rsidP="00FD6EDF">
      <w:pPr>
        <w:pStyle w:val="20"/>
        <w:shd w:val="clear" w:color="auto" w:fill="auto"/>
        <w:spacing w:after="0" w:line="240" w:lineRule="auto"/>
        <w:ind w:firstLine="600"/>
        <w:jc w:val="both"/>
        <w:rPr>
          <w:sz w:val="28"/>
          <w:szCs w:val="28"/>
        </w:rPr>
      </w:pPr>
      <w:r w:rsidRPr="00C1537D">
        <w:rPr>
          <w:sz w:val="28"/>
          <w:szCs w:val="28"/>
        </w:rPr>
        <w:t xml:space="preserve">Моніторинг реалізації Програми включає моніторинг реалізації заходів, спрямованих на мінімізацію навантаження на довкілля, зумовленого проведенням комплексу заходів з покращення стану навколишнього природного середовища. </w:t>
      </w:r>
    </w:p>
    <w:p w:rsidR="00FD6EDF" w:rsidRPr="00C1537D" w:rsidRDefault="00FD6EDF" w:rsidP="00FD6EDF">
      <w:pPr>
        <w:pStyle w:val="20"/>
        <w:shd w:val="clear" w:color="auto" w:fill="auto"/>
        <w:spacing w:after="0" w:line="240" w:lineRule="auto"/>
        <w:ind w:firstLine="600"/>
        <w:jc w:val="both"/>
        <w:rPr>
          <w:sz w:val="28"/>
          <w:szCs w:val="28"/>
        </w:rPr>
      </w:pPr>
      <w:r w:rsidRPr="00C1537D">
        <w:rPr>
          <w:sz w:val="28"/>
          <w:szCs w:val="28"/>
        </w:rPr>
        <w:t xml:space="preserve">Моніторинг базується на розгляді індикаторів та аналізі досягнення запланованих цілей. </w:t>
      </w:r>
    </w:p>
    <w:p w:rsidR="00FD6EDF" w:rsidRPr="00C1537D" w:rsidRDefault="00FD6EDF" w:rsidP="00FD6EDF">
      <w:pPr>
        <w:pStyle w:val="20"/>
        <w:shd w:val="clear" w:color="auto" w:fill="auto"/>
        <w:spacing w:after="0" w:line="240" w:lineRule="auto"/>
        <w:ind w:firstLine="600"/>
        <w:jc w:val="both"/>
        <w:rPr>
          <w:sz w:val="28"/>
          <w:szCs w:val="28"/>
        </w:rPr>
      </w:pPr>
      <w:r w:rsidRPr="00C1537D">
        <w:rPr>
          <w:sz w:val="28"/>
          <w:szCs w:val="28"/>
        </w:rPr>
        <w:t xml:space="preserve">Моніторинг екологічних індикаторів ефективності Програми є важливою формою контролю за фактичним впливом на довкілля під час виконання заходів Програми. </w:t>
      </w:r>
    </w:p>
    <w:p w:rsidR="00FD6EDF" w:rsidRPr="00C1537D" w:rsidRDefault="00FD6EDF" w:rsidP="00FD6EDF">
      <w:pPr>
        <w:pStyle w:val="20"/>
        <w:shd w:val="clear" w:color="auto" w:fill="auto"/>
        <w:spacing w:after="0" w:line="240" w:lineRule="auto"/>
        <w:ind w:firstLine="600"/>
        <w:jc w:val="both"/>
        <w:rPr>
          <w:sz w:val="28"/>
          <w:szCs w:val="28"/>
        </w:rPr>
      </w:pPr>
      <w:r w:rsidRPr="00C1537D">
        <w:rPr>
          <w:sz w:val="28"/>
          <w:szCs w:val="28"/>
        </w:rPr>
        <w:t xml:space="preserve">Окремі індикатори дозволяють оцінити прямі наслідки впливу реалізації заходів Програми на довкілля, окремі - опосередковані. </w:t>
      </w:r>
    </w:p>
    <w:p w:rsidR="00FD6EDF" w:rsidRPr="00C1537D" w:rsidRDefault="00FD6EDF" w:rsidP="00FD6EDF">
      <w:pPr>
        <w:pStyle w:val="20"/>
        <w:shd w:val="clear" w:color="auto" w:fill="auto"/>
        <w:spacing w:after="0" w:line="240" w:lineRule="auto"/>
        <w:ind w:firstLine="600"/>
        <w:jc w:val="both"/>
        <w:rPr>
          <w:sz w:val="28"/>
          <w:szCs w:val="28"/>
        </w:rPr>
      </w:pPr>
      <w:r w:rsidRPr="00C1537D">
        <w:rPr>
          <w:sz w:val="28"/>
          <w:szCs w:val="28"/>
        </w:rPr>
        <w:t xml:space="preserve">Для якісного проведення моніторингу необхідне забезпечення регулярності збору моніторингових даних за визначеними індикаторами та їх аналіз для врахування під час прийняття рішень щодо планування комплексу природоохоронних заходів у майбутньому. </w:t>
      </w:r>
    </w:p>
    <w:p w:rsidR="00FD6EDF" w:rsidRPr="00C1537D" w:rsidRDefault="00FD6EDF" w:rsidP="00FD6EDF">
      <w:pPr>
        <w:pStyle w:val="20"/>
        <w:shd w:val="clear" w:color="auto" w:fill="auto"/>
        <w:spacing w:after="0" w:line="240" w:lineRule="auto"/>
        <w:ind w:firstLine="600"/>
        <w:jc w:val="both"/>
        <w:rPr>
          <w:sz w:val="28"/>
          <w:szCs w:val="28"/>
        </w:rPr>
      </w:pPr>
      <w:r w:rsidRPr="00C1537D">
        <w:rPr>
          <w:sz w:val="28"/>
          <w:szCs w:val="28"/>
        </w:rPr>
        <w:t xml:space="preserve">На підставі проведеного в Звіті про СЕО аналізу можна зазначити, що </w:t>
      </w:r>
      <w:r w:rsidRPr="00C1537D">
        <w:rPr>
          <w:sz w:val="28"/>
          <w:szCs w:val="28"/>
        </w:rPr>
        <w:lastRenderedPageBreak/>
        <w:t xml:space="preserve">Програма не справляє значного негативного впливу на стан довкілля та здоров'я населення, а навпаки направлена на поліпшення стану водних ресурсів. </w:t>
      </w:r>
    </w:p>
    <w:p w:rsidR="00FD6EDF" w:rsidRPr="00C1537D" w:rsidRDefault="00FD6EDF" w:rsidP="00FD6EDF">
      <w:pPr>
        <w:pStyle w:val="20"/>
        <w:shd w:val="clear" w:color="auto" w:fill="auto"/>
        <w:spacing w:after="0" w:line="240" w:lineRule="auto"/>
        <w:ind w:firstLine="600"/>
        <w:jc w:val="both"/>
        <w:rPr>
          <w:sz w:val="28"/>
          <w:szCs w:val="28"/>
        </w:rPr>
      </w:pPr>
      <w:r w:rsidRPr="00C1537D">
        <w:rPr>
          <w:sz w:val="28"/>
          <w:szCs w:val="28"/>
        </w:rPr>
        <w:t>Цільові індикатори, які передбачається досягти в короткостроковій перспективі наведені нижче:</w:t>
      </w:r>
    </w:p>
    <w:p w:rsidR="00FD6EDF" w:rsidRPr="00C1537D" w:rsidRDefault="00FD6EDF" w:rsidP="00FD6EDF">
      <w:pPr>
        <w:pStyle w:val="20"/>
        <w:shd w:val="clear" w:color="auto" w:fill="auto"/>
        <w:spacing w:after="0" w:line="240" w:lineRule="auto"/>
        <w:ind w:firstLine="680"/>
        <w:jc w:val="both"/>
        <w:rPr>
          <w:sz w:val="28"/>
          <w:szCs w:val="28"/>
        </w:rPr>
      </w:pPr>
    </w:p>
    <w:tbl>
      <w:tblPr>
        <w:tblStyle w:val="a3"/>
        <w:tblW w:w="0" w:type="auto"/>
        <w:tblLayout w:type="fixed"/>
        <w:tblLook w:val="04A0"/>
      </w:tblPr>
      <w:tblGrid>
        <w:gridCol w:w="458"/>
        <w:gridCol w:w="2627"/>
        <w:gridCol w:w="3260"/>
        <w:gridCol w:w="1418"/>
        <w:gridCol w:w="992"/>
        <w:gridCol w:w="1100"/>
      </w:tblGrid>
      <w:tr w:rsidR="00FD6EDF" w:rsidRPr="00C1537D" w:rsidTr="00C1537D">
        <w:tc>
          <w:tcPr>
            <w:tcW w:w="458"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w:t>
            </w:r>
          </w:p>
        </w:tc>
        <w:tc>
          <w:tcPr>
            <w:tcW w:w="2627"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Ціль</w:t>
            </w:r>
          </w:p>
        </w:tc>
        <w:tc>
          <w:tcPr>
            <w:tcW w:w="3260"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Індикатор</w:t>
            </w:r>
          </w:p>
        </w:tc>
        <w:tc>
          <w:tcPr>
            <w:tcW w:w="1418"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Одиниця виміру</w:t>
            </w:r>
          </w:p>
        </w:tc>
        <w:tc>
          <w:tcPr>
            <w:tcW w:w="992"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2022 рік</w:t>
            </w:r>
          </w:p>
        </w:tc>
        <w:tc>
          <w:tcPr>
            <w:tcW w:w="1100"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2023 рік</w:t>
            </w:r>
          </w:p>
        </w:tc>
      </w:tr>
      <w:tr w:rsidR="00FD6EDF" w:rsidRPr="00C1537D" w:rsidTr="00C1537D">
        <w:tc>
          <w:tcPr>
            <w:tcW w:w="458"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1</w:t>
            </w:r>
          </w:p>
        </w:tc>
        <w:tc>
          <w:tcPr>
            <w:tcW w:w="2627" w:type="dxa"/>
          </w:tcPr>
          <w:p w:rsidR="00FD6EDF" w:rsidRPr="00C1537D" w:rsidRDefault="00FD6EDF" w:rsidP="00FA4F82">
            <w:pPr>
              <w:jc w:val="both"/>
              <w:rPr>
                <w:rFonts w:ascii="Times New Roman" w:hAnsi="Times New Roman" w:cs="Times New Roman"/>
                <w:sz w:val="28"/>
                <w:szCs w:val="28"/>
              </w:rPr>
            </w:pPr>
            <w:r w:rsidRPr="00C1537D">
              <w:rPr>
                <w:rFonts w:ascii="Times New Roman" w:hAnsi="Times New Roman" w:cs="Times New Roman"/>
                <w:sz w:val="28"/>
                <w:szCs w:val="28"/>
              </w:rPr>
              <w:t>Дослідження стану водних ресурсів та  здійснення замірів забруднюючих речовин у водних об’єктах та ґрунті.</w:t>
            </w:r>
          </w:p>
          <w:p w:rsidR="00FD6EDF" w:rsidRPr="00C1537D" w:rsidRDefault="00FD6EDF" w:rsidP="00FA4F82">
            <w:pPr>
              <w:pStyle w:val="20"/>
              <w:shd w:val="clear" w:color="auto" w:fill="auto"/>
              <w:spacing w:after="0" w:line="240" w:lineRule="auto"/>
              <w:ind w:firstLine="0"/>
              <w:jc w:val="both"/>
              <w:rPr>
                <w:sz w:val="28"/>
                <w:szCs w:val="28"/>
              </w:rPr>
            </w:pPr>
            <w:proofErr w:type="spellStart"/>
            <w:r w:rsidRPr="00C1537D">
              <w:rPr>
                <w:sz w:val="28"/>
                <w:szCs w:val="28"/>
              </w:rPr>
              <w:t>Проінформованість</w:t>
            </w:r>
            <w:proofErr w:type="spellEnd"/>
            <w:r w:rsidRPr="00C1537D">
              <w:rPr>
                <w:sz w:val="28"/>
                <w:szCs w:val="28"/>
              </w:rPr>
              <w:t xml:space="preserve"> населення щодо стану якості води</w:t>
            </w:r>
          </w:p>
        </w:tc>
        <w:tc>
          <w:tcPr>
            <w:tcW w:w="3260" w:type="dxa"/>
          </w:tcPr>
          <w:p w:rsidR="00FD6EDF" w:rsidRPr="00C1537D" w:rsidRDefault="00FD6EDF" w:rsidP="00FA4F82">
            <w:pPr>
              <w:pStyle w:val="20"/>
              <w:shd w:val="clear" w:color="auto" w:fill="auto"/>
              <w:spacing w:after="0" w:line="240" w:lineRule="auto"/>
              <w:ind w:firstLine="0"/>
              <w:jc w:val="both"/>
              <w:rPr>
                <w:sz w:val="28"/>
                <w:szCs w:val="28"/>
              </w:rPr>
            </w:pPr>
            <w:r w:rsidRPr="00C1537D">
              <w:rPr>
                <w:iCs/>
                <w:sz w:val="28"/>
                <w:szCs w:val="28"/>
                <w:lang w:eastAsia="uk-UA"/>
              </w:rPr>
              <w:t>Вимірювання показників стану якості водних ресурсів та інформування населення через ЗМІ про стан показників</w:t>
            </w:r>
          </w:p>
        </w:tc>
        <w:tc>
          <w:tcPr>
            <w:tcW w:w="1418"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одиниця</w:t>
            </w:r>
          </w:p>
        </w:tc>
        <w:tc>
          <w:tcPr>
            <w:tcW w:w="992"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24</w:t>
            </w:r>
          </w:p>
        </w:tc>
        <w:tc>
          <w:tcPr>
            <w:tcW w:w="1100"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24</w:t>
            </w:r>
          </w:p>
        </w:tc>
      </w:tr>
      <w:tr w:rsidR="00FD6EDF" w:rsidRPr="00C1537D" w:rsidTr="00C1537D">
        <w:tc>
          <w:tcPr>
            <w:tcW w:w="458"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2</w:t>
            </w:r>
          </w:p>
        </w:tc>
        <w:tc>
          <w:tcPr>
            <w:tcW w:w="2627" w:type="dxa"/>
          </w:tcPr>
          <w:p w:rsidR="00FD6EDF" w:rsidRPr="00C1537D" w:rsidRDefault="00FD6EDF" w:rsidP="00FA4F82">
            <w:pPr>
              <w:jc w:val="both"/>
              <w:rPr>
                <w:rFonts w:ascii="Times New Roman" w:hAnsi="Times New Roman" w:cs="Times New Roman"/>
                <w:sz w:val="28"/>
                <w:szCs w:val="28"/>
              </w:rPr>
            </w:pPr>
            <w:r w:rsidRPr="00C1537D">
              <w:rPr>
                <w:rFonts w:ascii="Times New Roman" w:hAnsi="Times New Roman" w:cs="Times New Roman"/>
                <w:sz w:val="28"/>
                <w:szCs w:val="28"/>
              </w:rPr>
              <w:t>Зменшення надходження забруднюючих речовин до акваторії водних об’єктів</w:t>
            </w:r>
          </w:p>
        </w:tc>
        <w:tc>
          <w:tcPr>
            <w:tcW w:w="3260" w:type="dxa"/>
          </w:tcPr>
          <w:p w:rsidR="00FD6EDF" w:rsidRPr="00C1537D" w:rsidRDefault="00FD6EDF" w:rsidP="00FA4F82">
            <w:pPr>
              <w:pStyle w:val="20"/>
              <w:shd w:val="clear" w:color="auto" w:fill="auto"/>
              <w:spacing w:after="0" w:line="240" w:lineRule="auto"/>
              <w:ind w:firstLine="0"/>
              <w:jc w:val="both"/>
              <w:rPr>
                <w:iCs/>
                <w:sz w:val="28"/>
                <w:szCs w:val="28"/>
                <w:lang w:eastAsia="uk-UA"/>
              </w:rPr>
            </w:pPr>
            <w:r w:rsidRPr="00C1537D">
              <w:rPr>
                <w:iCs/>
                <w:sz w:val="28"/>
                <w:szCs w:val="28"/>
                <w:lang w:eastAsia="uk-UA"/>
              </w:rPr>
              <w:t xml:space="preserve">Заходи з виявлення несанкціонованих </w:t>
            </w:r>
            <w:proofErr w:type="spellStart"/>
            <w:r w:rsidRPr="00C1537D">
              <w:rPr>
                <w:iCs/>
                <w:sz w:val="28"/>
                <w:szCs w:val="28"/>
                <w:lang w:eastAsia="uk-UA"/>
              </w:rPr>
              <w:t>врізок</w:t>
            </w:r>
            <w:proofErr w:type="spellEnd"/>
            <w:r w:rsidRPr="00C1537D">
              <w:rPr>
                <w:iCs/>
                <w:sz w:val="28"/>
                <w:szCs w:val="28"/>
                <w:lang w:eastAsia="uk-UA"/>
              </w:rPr>
              <w:t xml:space="preserve"> побутової каналізації до міської системи зливової каналізації та їх ліквідація:</w:t>
            </w:r>
          </w:p>
          <w:p w:rsidR="00FD6EDF" w:rsidRPr="00C1537D" w:rsidRDefault="00FD6EDF" w:rsidP="00FD6EDF">
            <w:pPr>
              <w:pStyle w:val="20"/>
              <w:numPr>
                <w:ilvl w:val="0"/>
                <w:numId w:val="1"/>
              </w:numPr>
              <w:shd w:val="clear" w:color="auto" w:fill="auto"/>
              <w:spacing w:after="0" w:line="240" w:lineRule="auto"/>
              <w:ind w:firstLine="0"/>
              <w:jc w:val="both"/>
              <w:rPr>
                <w:sz w:val="28"/>
                <w:szCs w:val="28"/>
              </w:rPr>
            </w:pPr>
            <w:r w:rsidRPr="00C1537D">
              <w:rPr>
                <w:sz w:val="28"/>
                <w:szCs w:val="28"/>
                <w:lang w:eastAsia="uk-UA"/>
              </w:rPr>
              <w:t>Протяжність берегової лінії, що планується обстежити</w:t>
            </w:r>
          </w:p>
          <w:p w:rsidR="00FD6EDF" w:rsidRPr="00C1537D" w:rsidRDefault="00FD6EDF" w:rsidP="00FD6EDF">
            <w:pPr>
              <w:pStyle w:val="20"/>
              <w:numPr>
                <w:ilvl w:val="0"/>
                <w:numId w:val="1"/>
              </w:numPr>
              <w:shd w:val="clear" w:color="auto" w:fill="auto"/>
              <w:spacing w:after="0" w:line="240" w:lineRule="auto"/>
              <w:ind w:firstLine="0"/>
              <w:jc w:val="both"/>
              <w:rPr>
                <w:sz w:val="28"/>
                <w:szCs w:val="28"/>
              </w:rPr>
            </w:pPr>
            <w:r w:rsidRPr="00C1537D">
              <w:rPr>
                <w:sz w:val="28"/>
                <w:szCs w:val="28"/>
                <w:lang w:eastAsia="uk-UA"/>
              </w:rPr>
              <w:t xml:space="preserve">Відсоток несанкціонованих </w:t>
            </w:r>
            <w:proofErr w:type="spellStart"/>
            <w:r w:rsidRPr="00C1537D">
              <w:rPr>
                <w:sz w:val="28"/>
                <w:szCs w:val="28"/>
                <w:lang w:eastAsia="uk-UA"/>
              </w:rPr>
              <w:t>врізок</w:t>
            </w:r>
            <w:proofErr w:type="spellEnd"/>
            <w:r w:rsidRPr="00C1537D">
              <w:rPr>
                <w:sz w:val="28"/>
                <w:szCs w:val="28"/>
                <w:lang w:eastAsia="uk-UA"/>
              </w:rPr>
              <w:t>, які планується ліквідувати</w:t>
            </w:r>
          </w:p>
        </w:tc>
        <w:tc>
          <w:tcPr>
            <w:tcW w:w="1418"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км</w:t>
            </w: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w:t>
            </w:r>
          </w:p>
        </w:tc>
        <w:tc>
          <w:tcPr>
            <w:tcW w:w="992"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243</w:t>
            </w: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х</w:t>
            </w:r>
          </w:p>
        </w:tc>
        <w:tc>
          <w:tcPr>
            <w:tcW w:w="1100"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х</w:t>
            </w: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100</w:t>
            </w:r>
          </w:p>
        </w:tc>
      </w:tr>
      <w:tr w:rsidR="00FD6EDF" w:rsidRPr="00C1537D" w:rsidTr="00C1537D">
        <w:trPr>
          <w:trHeight w:val="2279"/>
        </w:trPr>
        <w:tc>
          <w:tcPr>
            <w:tcW w:w="458"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3</w:t>
            </w:r>
          </w:p>
        </w:tc>
        <w:tc>
          <w:tcPr>
            <w:tcW w:w="2627" w:type="dxa"/>
          </w:tcPr>
          <w:p w:rsidR="00FD6EDF" w:rsidRPr="00C1537D" w:rsidRDefault="00FD6EDF" w:rsidP="00FA4F82">
            <w:pPr>
              <w:jc w:val="both"/>
              <w:rPr>
                <w:rFonts w:ascii="Times New Roman" w:hAnsi="Times New Roman" w:cs="Times New Roman"/>
                <w:sz w:val="28"/>
                <w:szCs w:val="28"/>
              </w:rPr>
            </w:pPr>
            <w:r w:rsidRPr="00C1537D">
              <w:rPr>
                <w:rFonts w:ascii="Times New Roman" w:hAnsi="Times New Roman" w:cs="Times New Roman"/>
                <w:sz w:val="28"/>
                <w:szCs w:val="28"/>
              </w:rPr>
              <w:t>Впорядкування прибережних</w:t>
            </w:r>
          </w:p>
          <w:p w:rsidR="00FD6EDF" w:rsidRPr="00C1537D" w:rsidRDefault="00FD6EDF" w:rsidP="00FA4F82">
            <w:pPr>
              <w:jc w:val="both"/>
              <w:rPr>
                <w:rFonts w:ascii="Times New Roman" w:hAnsi="Times New Roman" w:cs="Times New Roman"/>
                <w:sz w:val="28"/>
                <w:szCs w:val="28"/>
              </w:rPr>
            </w:pPr>
            <w:r w:rsidRPr="00C1537D">
              <w:rPr>
                <w:rFonts w:ascii="Times New Roman" w:hAnsi="Times New Roman" w:cs="Times New Roman"/>
                <w:sz w:val="28"/>
                <w:szCs w:val="28"/>
              </w:rPr>
              <w:t>захисних смуг</w:t>
            </w:r>
          </w:p>
          <w:p w:rsidR="00FD6EDF" w:rsidRPr="00C1537D" w:rsidRDefault="00FD6EDF" w:rsidP="00FA4F82">
            <w:pPr>
              <w:jc w:val="both"/>
              <w:rPr>
                <w:rFonts w:ascii="Times New Roman" w:hAnsi="Times New Roman" w:cs="Times New Roman"/>
                <w:sz w:val="28"/>
                <w:szCs w:val="28"/>
              </w:rPr>
            </w:pPr>
          </w:p>
          <w:p w:rsidR="00FD6EDF" w:rsidRPr="00C1537D" w:rsidRDefault="00FD6EDF" w:rsidP="00FA4F82">
            <w:pPr>
              <w:jc w:val="both"/>
              <w:rPr>
                <w:rFonts w:ascii="Times New Roman" w:hAnsi="Times New Roman" w:cs="Times New Roman"/>
                <w:sz w:val="28"/>
                <w:szCs w:val="28"/>
              </w:rPr>
            </w:pPr>
            <w:r w:rsidRPr="00C1537D">
              <w:rPr>
                <w:rFonts w:ascii="Times New Roman" w:hAnsi="Times New Roman" w:cs="Times New Roman"/>
                <w:sz w:val="28"/>
                <w:szCs w:val="28"/>
              </w:rPr>
              <w:t>Зменшення кількості загиблих та постраждалих на воді.</w:t>
            </w: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Створення умов для використання прибережних територій</w:t>
            </w:r>
          </w:p>
        </w:tc>
        <w:tc>
          <w:tcPr>
            <w:tcW w:w="3260" w:type="dxa"/>
          </w:tcPr>
          <w:p w:rsidR="00FD6EDF" w:rsidRPr="00C1537D" w:rsidRDefault="00FD6EDF" w:rsidP="00FA4F82">
            <w:pPr>
              <w:pStyle w:val="20"/>
              <w:shd w:val="clear" w:color="auto" w:fill="auto"/>
              <w:spacing w:after="0" w:line="240" w:lineRule="auto"/>
              <w:ind w:firstLine="0"/>
              <w:jc w:val="both"/>
              <w:rPr>
                <w:iCs/>
                <w:sz w:val="28"/>
                <w:szCs w:val="28"/>
                <w:lang w:eastAsia="uk-UA"/>
              </w:rPr>
            </w:pPr>
            <w:r w:rsidRPr="00C1537D">
              <w:rPr>
                <w:iCs/>
                <w:sz w:val="28"/>
                <w:szCs w:val="28"/>
                <w:lang w:eastAsia="uk-UA"/>
              </w:rPr>
              <w:t xml:space="preserve">Розробка </w:t>
            </w:r>
            <w:proofErr w:type="spellStart"/>
            <w:r w:rsidRPr="00C1537D">
              <w:rPr>
                <w:iCs/>
                <w:sz w:val="28"/>
                <w:szCs w:val="28"/>
                <w:lang w:eastAsia="uk-UA"/>
              </w:rPr>
              <w:t>проєктів</w:t>
            </w:r>
            <w:proofErr w:type="spellEnd"/>
            <w:r w:rsidRPr="00C1537D">
              <w:rPr>
                <w:iCs/>
                <w:sz w:val="28"/>
                <w:szCs w:val="28"/>
                <w:lang w:eastAsia="uk-UA"/>
              </w:rPr>
              <w:t xml:space="preserve"> землеустрою територій</w:t>
            </w:r>
            <w:r w:rsidRPr="00C1537D">
              <w:rPr>
                <w:iCs/>
                <w:sz w:val="28"/>
                <w:szCs w:val="28"/>
                <w:lang w:eastAsia="uk-UA"/>
              </w:rPr>
              <w:br/>
              <w:t>рекреаційного призначення, що розміщені у межах прибережних захисних смуг:</w:t>
            </w:r>
          </w:p>
          <w:p w:rsidR="00FD6EDF" w:rsidRPr="00C1537D" w:rsidRDefault="00FD6EDF" w:rsidP="00FA4F82">
            <w:pPr>
              <w:pStyle w:val="20"/>
              <w:shd w:val="clear" w:color="auto" w:fill="auto"/>
              <w:spacing w:after="0" w:line="240" w:lineRule="auto"/>
              <w:ind w:firstLine="0"/>
              <w:jc w:val="both"/>
              <w:rPr>
                <w:sz w:val="28"/>
                <w:szCs w:val="28"/>
              </w:rPr>
            </w:pPr>
            <w:r w:rsidRPr="00C1537D">
              <w:rPr>
                <w:iCs/>
                <w:sz w:val="28"/>
                <w:szCs w:val="28"/>
                <w:lang w:eastAsia="uk-UA"/>
              </w:rPr>
              <w:t>-</w:t>
            </w:r>
            <w:r w:rsidRPr="00C1537D">
              <w:rPr>
                <w:sz w:val="28"/>
                <w:szCs w:val="28"/>
                <w:lang w:eastAsia="uk-UA"/>
              </w:rPr>
              <w:t xml:space="preserve"> Площа територій рекреаційного призначення, для яких планується розробити </w:t>
            </w:r>
            <w:proofErr w:type="spellStart"/>
            <w:r w:rsidRPr="00C1537D">
              <w:rPr>
                <w:sz w:val="28"/>
                <w:szCs w:val="28"/>
                <w:lang w:eastAsia="uk-UA"/>
              </w:rPr>
              <w:t>проєкти</w:t>
            </w:r>
            <w:proofErr w:type="spellEnd"/>
            <w:r w:rsidRPr="00C1537D">
              <w:rPr>
                <w:sz w:val="28"/>
                <w:szCs w:val="28"/>
                <w:lang w:eastAsia="uk-UA"/>
              </w:rPr>
              <w:t xml:space="preserve"> землеустрою</w:t>
            </w:r>
          </w:p>
        </w:tc>
        <w:tc>
          <w:tcPr>
            <w:tcW w:w="1418" w:type="dxa"/>
            <w:vAlign w:val="center"/>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га</w:t>
            </w:r>
          </w:p>
        </w:tc>
        <w:tc>
          <w:tcPr>
            <w:tcW w:w="992" w:type="dxa"/>
            <w:vAlign w:val="center"/>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11,64</w:t>
            </w:r>
          </w:p>
        </w:tc>
        <w:tc>
          <w:tcPr>
            <w:tcW w:w="1100" w:type="dxa"/>
            <w:vAlign w:val="center"/>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12,85</w:t>
            </w:r>
          </w:p>
        </w:tc>
      </w:tr>
      <w:tr w:rsidR="00FD6EDF" w:rsidRPr="00C1537D" w:rsidTr="00C1537D">
        <w:trPr>
          <w:trHeight w:val="2825"/>
        </w:trPr>
        <w:tc>
          <w:tcPr>
            <w:tcW w:w="458"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lastRenderedPageBreak/>
              <w:t>4</w:t>
            </w:r>
          </w:p>
        </w:tc>
        <w:tc>
          <w:tcPr>
            <w:tcW w:w="2627" w:type="dxa"/>
          </w:tcPr>
          <w:p w:rsidR="00FD6EDF" w:rsidRPr="00C1537D" w:rsidRDefault="00FD6EDF" w:rsidP="00FA4F82">
            <w:pPr>
              <w:jc w:val="both"/>
              <w:rPr>
                <w:rFonts w:ascii="Times New Roman" w:hAnsi="Times New Roman" w:cs="Times New Roman"/>
                <w:sz w:val="28"/>
                <w:szCs w:val="28"/>
              </w:rPr>
            </w:pPr>
            <w:r w:rsidRPr="00C1537D">
              <w:rPr>
                <w:rFonts w:ascii="Times New Roman" w:hAnsi="Times New Roman" w:cs="Times New Roman"/>
                <w:sz w:val="28"/>
                <w:szCs w:val="28"/>
              </w:rPr>
              <w:t xml:space="preserve">Збільшення обізнаності мешканців міста щодо необхідності збереження водних ресурсів </w:t>
            </w:r>
          </w:p>
          <w:p w:rsidR="00FD6EDF" w:rsidRPr="00C1537D" w:rsidRDefault="00FD6EDF" w:rsidP="00FA4F82">
            <w:pPr>
              <w:jc w:val="both"/>
              <w:rPr>
                <w:rFonts w:ascii="Times New Roman" w:hAnsi="Times New Roman" w:cs="Times New Roman"/>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rFonts w:eastAsia="Calibri"/>
                <w:sz w:val="28"/>
                <w:szCs w:val="28"/>
              </w:rPr>
              <w:t>Розвиток місцевих водних перевезень</w:t>
            </w:r>
          </w:p>
        </w:tc>
        <w:tc>
          <w:tcPr>
            <w:tcW w:w="3260" w:type="dxa"/>
          </w:tcPr>
          <w:p w:rsidR="00FD6EDF" w:rsidRPr="00C1537D" w:rsidRDefault="00FD6EDF" w:rsidP="00FA4F82">
            <w:pPr>
              <w:pStyle w:val="20"/>
              <w:shd w:val="clear" w:color="auto" w:fill="auto"/>
              <w:spacing w:after="0" w:line="240" w:lineRule="auto"/>
              <w:ind w:firstLine="0"/>
              <w:jc w:val="both"/>
              <w:rPr>
                <w:iCs/>
                <w:sz w:val="28"/>
                <w:szCs w:val="28"/>
                <w:lang w:eastAsia="uk-UA"/>
              </w:rPr>
            </w:pPr>
            <w:r w:rsidRPr="00C1537D">
              <w:rPr>
                <w:iCs/>
                <w:sz w:val="28"/>
                <w:szCs w:val="28"/>
                <w:lang w:eastAsia="uk-UA"/>
              </w:rPr>
              <w:t>Проведення науково-практичних конференцій і семінарів, інших заходів щодо пропаганди екологічних знань, видання поліграфічної продукції з екологічної тематики.  Проведення інформаційної кампанії щодо зменшення забруднення води, у т.ч. нітратами та фосфатами, що викликають «цвітіння» водойм, освітні заходи, а також поширення інформації через ЗМІ</w:t>
            </w:r>
          </w:p>
          <w:p w:rsidR="00FD6EDF" w:rsidRPr="00C1537D" w:rsidRDefault="00FD6EDF" w:rsidP="00FD6EDF">
            <w:pPr>
              <w:pStyle w:val="20"/>
              <w:numPr>
                <w:ilvl w:val="0"/>
                <w:numId w:val="1"/>
              </w:numPr>
              <w:shd w:val="clear" w:color="auto" w:fill="auto"/>
              <w:spacing w:after="0" w:line="240" w:lineRule="auto"/>
              <w:ind w:firstLine="0"/>
              <w:jc w:val="both"/>
              <w:rPr>
                <w:sz w:val="28"/>
                <w:szCs w:val="28"/>
              </w:rPr>
            </w:pPr>
            <w:r w:rsidRPr="00C1537D">
              <w:rPr>
                <w:sz w:val="28"/>
                <w:szCs w:val="28"/>
                <w:lang w:eastAsia="uk-UA"/>
              </w:rPr>
              <w:t>Кількість заходів із проведення просвітницької роботи, що заплановані</w:t>
            </w:r>
          </w:p>
        </w:tc>
        <w:tc>
          <w:tcPr>
            <w:tcW w:w="1418"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одиниць</w:t>
            </w:r>
          </w:p>
        </w:tc>
        <w:tc>
          <w:tcPr>
            <w:tcW w:w="992"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2</w:t>
            </w:r>
          </w:p>
        </w:tc>
        <w:tc>
          <w:tcPr>
            <w:tcW w:w="1100"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3</w:t>
            </w:r>
          </w:p>
        </w:tc>
      </w:tr>
      <w:tr w:rsidR="00FD6EDF" w:rsidRPr="00C1537D" w:rsidTr="00C1537D">
        <w:tc>
          <w:tcPr>
            <w:tcW w:w="458"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5</w:t>
            </w:r>
          </w:p>
        </w:tc>
        <w:tc>
          <w:tcPr>
            <w:tcW w:w="2627"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Безпечна експлуатація баз для стоянки маломірних (малих) суден</w:t>
            </w:r>
          </w:p>
        </w:tc>
        <w:tc>
          <w:tcPr>
            <w:tcW w:w="3260"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Замовлення контрольно-інспекторського обстеження та паспортизація гідротехнічних споруд КДЮСШ «Атлант» та КДЮСШ «Олімп»:</w:t>
            </w:r>
          </w:p>
          <w:p w:rsidR="00FD6EDF" w:rsidRPr="00C1537D" w:rsidRDefault="00FD6EDF" w:rsidP="00FD6EDF">
            <w:pPr>
              <w:pStyle w:val="20"/>
              <w:numPr>
                <w:ilvl w:val="0"/>
                <w:numId w:val="1"/>
              </w:numPr>
              <w:shd w:val="clear" w:color="auto" w:fill="auto"/>
              <w:spacing w:after="0" w:line="240" w:lineRule="auto"/>
              <w:ind w:firstLine="0"/>
              <w:jc w:val="both"/>
              <w:rPr>
                <w:sz w:val="28"/>
                <w:szCs w:val="28"/>
              </w:rPr>
            </w:pPr>
            <w:r w:rsidRPr="00C1537D">
              <w:rPr>
                <w:color w:val="000000" w:themeColor="text1"/>
                <w:sz w:val="28"/>
                <w:szCs w:val="28"/>
                <w:shd w:val="clear" w:color="auto" w:fill="FFFFFF"/>
                <w:lang w:eastAsia="uk-UA"/>
              </w:rPr>
              <w:t>Кількість об’єктів, що потребують обстеження</w:t>
            </w:r>
          </w:p>
        </w:tc>
        <w:tc>
          <w:tcPr>
            <w:tcW w:w="1418"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одиниць</w:t>
            </w:r>
          </w:p>
        </w:tc>
        <w:tc>
          <w:tcPr>
            <w:tcW w:w="992"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1</w:t>
            </w:r>
          </w:p>
        </w:tc>
        <w:tc>
          <w:tcPr>
            <w:tcW w:w="1100"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1</w:t>
            </w:r>
          </w:p>
        </w:tc>
      </w:tr>
      <w:tr w:rsidR="00FD6EDF" w:rsidRPr="00C1537D" w:rsidTr="00C1537D">
        <w:tc>
          <w:tcPr>
            <w:tcW w:w="458"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6</w:t>
            </w:r>
          </w:p>
        </w:tc>
        <w:tc>
          <w:tcPr>
            <w:tcW w:w="2627"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lang w:eastAsia="zh-CN"/>
              </w:rPr>
              <w:t>Зменшення кількості загиблих та постраждалих на воді</w:t>
            </w:r>
          </w:p>
        </w:tc>
        <w:tc>
          <w:tcPr>
            <w:tcW w:w="3260"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Підготовка особового складу рятувального посту та тренерів-викладачів (з водних та з веслувальних видів спорту) за фахом матрос-рятувальник (плавець-рятувальник) та забезпечити форменим одягом</w:t>
            </w:r>
          </w:p>
        </w:tc>
        <w:tc>
          <w:tcPr>
            <w:tcW w:w="1418"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осіб</w:t>
            </w:r>
          </w:p>
        </w:tc>
        <w:tc>
          <w:tcPr>
            <w:tcW w:w="992"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60</w:t>
            </w:r>
          </w:p>
        </w:tc>
        <w:tc>
          <w:tcPr>
            <w:tcW w:w="1100"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х</w:t>
            </w:r>
          </w:p>
        </w:tc>
      </w:tr>
      <w:tr w:rsidR="00FD6EDF" w:rsidRPr="00C1537D" w:rsidTr="00C1537D">
        <w:tc>
          <w:tcPr>
            <w:tcW w:w="458"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7</w:t>
            </w:r>
          </w:p>
        </w:tc>
        <w:tc>
          <w:tcPr>
            <w:tcW w:w="2627"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lang w:eastAsia="zh-CN"/>
              </w:rPr>
              <w:t>Зменшення кількості загиблих та постраждалих на воді</w:t>
            </w:r>
          </w:p>
        </w:tc>
        <w:tc>
          <w:tcPr>
            <w:tcW w:w="3260"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 xml:space="preserve">Влаштування рятувальних постів, забезпечення їх приміщеннями, рятувальним майном (на </w:t>
            </w:r>
            <w:r w:rsidRPr="00C1537D">
              <w:rPr>
                <w:sz w:val="28"/>
                <w:szCs w:val="28"/>
              </w:rPr>
              <w:lastRenderedPageBreak/>
              <w:t>території спортивних шкіл)</w:t>
            </w:r>
          </w:p>
        </w:tc>
        <w:tc>
          <w:tcPr>
            <w:tcW w:w="1418"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одиниць</w:t>
            </w:r>
          </w:p>
        </w:tc>
        <w:tc>
          <w:tcPr>
            <w:tcW w:w="992"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5</w:t>
            </w:r>
          </w:p>
        </w:tc>
        <w:tc>
          <w:tcPr>
            <w:tcW w:w="1100"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5</w:t>
            </w:r>
          </w:p>
        </w:tc>
      </w:tr>
      <w:tr w:rsidR="00FD6EDF" w:rsidRPr="00C1537D" w:rsidTr="00C1537D">
        <w:tc>
          <w:tcPr>
            <w:tcW w:w="458"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lastRenderedPageBreak/>
              <w:t>8</w:t>
            </w:r>
          </w:p>
        </w:tc>
        <w:tc>
          <w:tcPr>
            <w:tcW w:w="2627"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 xml:space="preserve">Запобігання небезпечним ситуаціям під час застосування </w:t>
            </w:r>
            <w:r w:rsidRPr="00C1537D">
              <w:rPr>
                <w:sz w:val="28"/>
                <w:szCs w:val="28"/>
                <w:lang w:eastAsia="zh-CN"/>
              </w:rPr>
              <w:t>плавзасобів</w:t>
            </w:r>
          </w:p>
        </w:tc>
        <w:tc>
          <w:tcPr>
            <w:tcW w:w="3260" w:type="dxa"/>
          </w:tcPr>
          <w:p w:rsidR="00FD6EDF" w:rsidRPr="00C1537D" w:rsidRDefault="00FD6EDF" w:rsidP="00FA4F82">
            <w:pPr>
              <w:pStyle w:val="20"/>
              <w:shd w:val="clear" w:color="auto" w:fill="auto"/>
              <w:spacing w:after="0" w:line="240" w:lineRule="auto"/>
              <w:ind w:firstLine="0"/>
              <w:jc w:val="both"/>
              <w:rPr>
                <w:color w:val="000000" w:themeColor="text1"/>
                <w:sz w:val="28"/>
                <w:szCs w:val="28"/>
                <w:shd w:val="clear" w:color="auto" w:fill="FFFFFF"/>
                <w:lang w:eastAsia="uk-UA"/>
              </w:rPr>
            </w:pPr>
            <w:r w:rsidRPr="00C1537D">
              <w:rPr>
                <w:color w:val="000000" w:themeColor="text1"/>
                <w:sz w:val="28"/>
                <w:szCs w:val="28"/>
                <w:shd w:val="clear" w:color="auto" w:fill="FFFFFF"/>
                <w:lang w:eastAsia="uk-UA"/>
              </w:rPr>
              <w:t>Встановлення та оновлення на автодорожніх мостах попереджувальної інформації щодо обмеження плавзасобів швидкісного режиму проходження прогонів</w:t>
            </w:r>
          </w:p>
        </w:tc>
        <w:tc>
          <w:tcPr>
            <w:tcW w:w="1418"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одиниць</w:t>
            </w:r>
          </w:p>
        </w:tc>
        <w:tc>
          <w:tcPr>
            <w:tcW w:w="992"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4</w:t>
            </w:r>
          </w:p>
        </w:tc>
        <w:tc>
          <w:tcPr>
            <w:tcW w:w="1100"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5</w:t>
            </w:r>
          </w:p>
        </w:tc>
      </w:tr>
      <w:tr w:rsidR="00FD6EDF" w:rsidRPr="00C1537D" w:rsidTr="00C1537D">
        <w:tc>
          <w:tcPr>
            <w:tcW w:w="458"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9</w:t>
            </w:r>
          </w:p>
        </w:tc>
        <w:tc>
          <w:tcPr>
            <w:tcW w:w="2627"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Зміцнення здоров’я дітей</w:t>
            </w:r>
          </w:p>
        </w:tc>
        <w:tc>
          <w:tcPr>
            <w:tcW w:w="3260" w:type="dxa"/>
          </w:tcPr>
          <w:p w:rsidR="00FD6EDF" w:rsidRPr="00C1537D" w:rsidRDefault="00FD6EDF" w:rsidP="00FA4F82">
            <w:pPr>
              <w:pStyle w:val="20"/>
              <w:shd w:val="clear" w:color="auto" w:fill="auto"/>
              <w:spacing w:after="0" w:line="240" w:lineRule="auto"/>
              <w:ind w:firstLine="0"/>
              <w:jc w:val="both"/>
              <w:rPr>
                <w:color w:val="000000" w:themeColor="text1"/>
                <w:sz w:val="28"/>
                <w:szCs w:val="28"/>
                <w:shd w:val="clear" w:color="auto" w:fill="FFFFFF"/>
                <w:lang w:eastAsia="uk-UA"/>
              </w:rPr>
            </w:pPr>
            <w:r w:rsidRPr="00C1537D">
              <w:rPr>
                <w:color w:val="000000" w:themeColor="text1"/>
                <w:sz w:val="28"/>
                <w:szCs w:val="28"/>
                <w:shd w:val="clear" w:color="auto" w:fill="FFFFFF"/>
                <w:lang w:eastAsia="uk-UA"/>
              </w:rPr>
              <w:t>Впровадження навчального курсу для учнів 5-7 класів «Вчимося плавати»:</w:t>
            </w:r>
          </w:p>
          <w:p w:rsidR="00FD6EDF" w:rsidRPr="00C1537D" w:rsidRDefault="00FD6EDF" w:rsidP="00FD6EDF">
            <w:pPr>
              <w:pStyle w:val="20"/>
              <w:numPr>
                <w:ilvl w:val="0"/>
                <w:numId w:val="1"/>
              </w:numPr>
              <w:shd w:val="clear" w:color="auto" w:fill="auto"/>
              <w:spacing w:after="0" w:line="240" w:lineRule="auto"/>
              <w:ind w:firstLine="0"/>
              <w:jc w:val="both"/>
              <w:rPr>
                <w:color w:val="000000" w:themeColor="text1"/>
                <w:sz w:val="28"/>
                <w:szCs w:val="28"/>
                <w:shd w:val="clear" w:color="auto" w:fill="FFFFFF"/>
                <w:lang w:eastAsia="uk-UA"/>
              </w:rPr>
            </w:pPr>
            <w:r w:rsidRPr="00C1537D">
              <w:rPr>
                <w:color w:val="000000" w:themeColor="text1"/>
                <w:sz w:val="28"/>
                <w:szCs w:val="28"/>
                <w:shd w:val="clear" w:color="auto" w:fill="FFFFFF"/>
                <w:lang w:eastAsia="uk-UA"/>
              </w:rPr>
              <w:t>Кількість учнів 5-7 класів</w:t>
            </w:r>
          </w:p>
          <w:p w:rsidR="00FD6EDF" w:rsidRPr="00C1537D" w:rsidRDefault="00FD6EDF" w:rsidP="00FD6EDF">
            <w:pPr>
              <w:pStyle w:val="20"/>
              <w:numPr>
                <w:ilvl w:val="0"/>
                <w:numId w:val="1"/>
              </w:numPr>
              <w:shd w:val="clear" w:color="auto" w:fill="auto"/>
              <w:spacing w:after="0" w:line="240" w:lineRule="auto"/>
              <w:ind w:firstLine="0"/>
              <w:jc w:val="both"/>
              <w:rPr>
                <w:color w:val="000000" w:themeColor="text1"/>
                <w:sz w:val="28"/>
                <w:szCs w:val="28"/>
                <w:shd w:val="clear" w:color="auto" w:fill="FFFFFF"/>
                <w:lang w:eastAsia="uk-UA"/>
              </w:rPr>
            </w:pPr>
            <w:r w:rsidRPr="00C1537D">
              <w:rPr>
                <w:color w:val="000000" w:themeColor="text1"/>
                <w:sz w:val="28"/>
                <w:szCs w:val="28"/>
                <w:shd w:val="clear" w:color="auto" w:fill="FFFFFF"/>
                <w:lang w:eastAsia="uk-UA"/>
              </w:rPr>
              <w:t>Кількість учнів охоплених заняттями з плавання</w:t>
            </w:r>
          </w:p>
          <w:p w:rsidR="00FD6EDF" w:rsidRPr="00C1537D" w:rsidRDefault="00FD6EDF" w:rsidP="00FD6EDF">
            <w:pPr>
              <w:pStyle w:val="20"/>
              <w:numPr>
                <w:ilvl w:val="0"/>
                <w:numId w:val="1"/>
              </w:numPr>
              <w:shd w:val="clear" w:color="auto" w:fill="auto"/>
              <w:spacing w:after="0" w:line="240" w:lineRule="auto"/>
              <w:ind w:firstLine="0"/>
              <w:jc w:val="both"/>
              <w:rPr>
                <w:color w:val="000000" w:themeColor="text1"/>
                <w:sz w:val="28"/>
                <w:szCs w:val="28"/>
                <w:shd w:val="clear" w:color="auto" w:fill="FFFFFF"/>
                <w:lang w:eastAsia="uk-UA"/>
              </w:rPr>
            </w:pPr>
            <w:r w:rsidRPr="00C1537D">
              <w:rPr>
                <w:color w:val="000000" w:themeColor="text1"/>
                <w:sz w:val="28"/>
                <w:szCs w:val="28"/>
                <w:shd w:val="clear" w:color="auto" w:fill="FFFFFF"/>
                <w:lang w:eastAsia="uk-UA"/>
              </w:rPr>
              <w:t>Кількість занять, всього</w:t>
            </w:r>
          </w:p>
          <w:p w:rsidR="00FD6EDF" w:rsidRPr="00C1537D" w:rsidRDefault="00FD6EDF" w:rsidP="00FD6EDF">
            <w:pPr>
              <w:pStyle w:val="20"/>
              <w:numPr>
                <w:ilvl w:val="0"/>
                <w:numId w:val="1"/>
              </w:numPr>
              <w:shd w:val="clear" w:color="auto" w:fill="auto"/>
              <w:spacing w:after="0" w:line="240" w:lineRule="auto"/>
              <w:ind w:firstLine="0"/>
              <w:jc w:val="both"/>
              <w:rPr>
                <w:color w:val="000000" w:themeColor="text1"/>
                <w:sz w:val="28"/>
                <w:szCs w:val="28"/>
                <w:shd w:val="clear" w:color="auto" w:fill="FFFFFF"/>
                <w:lang w:eastAsia="uk-UA"/>
              </w:rPr>
            </w:pPr>
            <w:r w:rsidRPr="00C1537D">
              <w:rPr>
                <w:color w:val="000000" w:themeColor="text1"/>
                <w:sz w:val="28"/>
                <w:szCs w:val="28"/>
                <w:shd w:val="clear" w:color="auto" w:fill="FFFFFF"/>
                <w:lang w:eastAsia="uk-UA"/>
              </w:rPr>
              <w:t>Кількість занять на 1 учня</w:t>
            </w:r>
          </w:p>
        </w:tc>
        <w:tc>
          <w:tcPr>
            <w:tcW w:w="1418"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осіб</w:t>
            </w: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осіб</w:t>
            </w: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одиниць</w:t>
            </w: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одиниць</w:t>
            </w:r>
          </w:p>
        </w:tc>
        <w:tc>
          <w:tcPr>
            <w:tcW w:w="992"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2397</w:t>
            </w: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1308</w:t>
            </w: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13077</w:t>
            </w: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10</w:t>
            </w:r>
          </w:p>
        </w:tc>
        <w:tc>
          <w:tcPr>
            <w:tcW w:w="1100"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2416</w:t>
            </w: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1308</w:t>
            </w: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13077</w:t>
            </w: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10</w:t>
            </w:r>
          </w:p>
        </w:tc>
      </w:tr>
      <w:tr w:rsidR="00FD6EDF" w:rsidRPr="00C1537D" w:rsidTr="00C1537D">
        <w:tc>
          <w:tcPr>
            <w:tcW w:w="458"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10</w:t>
            </w:r>
          </w:p>
        </w:tc>
        <w:tc>
          <w:tcPr>
            <w:tcW w:w="2627" w:type="dxa"/>
          </w:tcPr>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Розвиток водного відпочинку для мешканців і гостей міста</w:t>
            </w:r>
          </w:p>
        </w:tc>
        <w:tc>
          <w:tcPr>
            <w:tcW w:w="3260" w:type="dxa"/>
          </w:tcPr>
          <w:p w:rsidR="00FD6EDF" w:rsidRPr="00C1537D" w:rsidRDefault="00FD6EDF" w:rsidP="00FA4F82">
            <w:pPr>
              <w:pStyle w:val="20"/>
              <w:shd w:val="clear" w:color="auto" w:fill="auto"/>
              <w:spacing w:after="0" w:line="240" w:lineRule="auto"/>
              <w:ind w:firstLine="0"/>
              <w:jc w:val="both"/>
              <w:rPr>
                <w:color w:val="000000" w:themeColor="text1"/>
                <w:sz w:val="28"/>
                <w:szCs w:val="28"/>
                <w:shd w:val="clear" w:color="auto" w:fill="FFFFFF"/>
                <w:lang w:eastAsia="uk-UA"/>
              </w:rPr>
            </w:pPr>
            <w:r w:rsidRPr="00C1537D">
              <w:rPr>
                <w:sz w:val="28"/>
                <w:szCs w:val="28"/>
              </w:rPr>
              <w:t xml:space="preserve">Формування культури водного, у т.ч. яхтового відпочинку мешканців та гостей міста (промоція, проведення заходів щодо обміну досвідом, яхтові </w:t>
            </w:r>
            <w:proofErr w:type="spellStart"/>
            <w:r w:rsidRPr="00C1537D">
              <w:rPr>
                <w:sz w:val="28"/>
                <w:szCs w:val="28"/>
              </w:rPr>
              <w:t>раллі</w:t>
            </w:r>
            <w:proofErr w:type="spellEnd"/>
            <w:r w:rsidRPr="00C1537D">
              <w:rPr>
                <w:sz w:val="28"/>
                <w:szCs w:val="28"/>
              </w:rPr>
              <w:t xml:space="preserve"> тощо)</w:t>
            </w:r>
          </w:p>
        </w:tc>
        <w:tc>
          <w:tcPr>
            <w:tcW w:w="1418"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одиниць</w:t>
            </w:r>
          </w:p>
        </w:tc>
        <w:tc>
          <w:tcPr>
            <w:tcW w:w="992"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10</w:t>
            </w:r>
          </w:p>
        </w:tc>
        <w:tc>
          <w:tcPr>
            <w:tcW w:w="1100" w:type="dxa"/>
          </w:tcPr>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p>
          <w:p w:rsidR="00FD6EDF" w:rsidRPr="00C1537D" w:rsidRDefault="00FD6EDF" w:rsidP="00FA4F82">
            <w:pPr>
              <w:pStyle w:val="20"/>
              <w:shd w:val="clear" w:color="auto" w:fill="auto"/>
              <w:spacing w:after="0" w:line="240" w:lineRule="auto"/>
              <w:ind w:firstLine="0"/>
              <w:jc w:val="both"/>
              <w:rPr>
                <w:sz w:val="28"/>
                <w:szCs w:val="28"/>
              </w:rPr>
            </w:pPr>
            <w:r w:rsidRPr="00C1537D">
              <w:rPr>
                <w:sz w:val="28"/>
                <w:szCs w:val="28"/>
              </w:rPr>
              <w:t>10</w:t>
            </w:r>
          </w:p>
        </w:tc>
      </w:tr>
    </w:tbl>
    <w:p w:rsidR="00FD6EDF" w:rsidRPr="00C1537D" w:rsidRDefault="00FD6EDF" w:rsidP="00FD6EDF">
      <w:pPr>
        <w:pStyle w:val="20"/>
        <w:shd w:val="clear" w:color="auto" w:fill="auto"/>
        <w:spacing w:after="0" w:line="240" w:lineRule="auto"/>
        <w:ind w:firstLine="0"/>
        <w:jc w:val="both"/>
        <w:rPr>
          <w:sz w:val="28"/>
          <w:szCs w:val="28"/>
        </w:rPr>
      </w:pPr>
    </w:p>
    <w:p w:rsidR="00FD6EDF" w:rsidRPr="00C1537D" w:rsidRDefault="00FD6EDF" w:rsidP="00FD6EDF">
      <w:pPr>
        <w:pStyle w:val="20"/>
        <w:shd w:val="clear" w:color="auto" w:fill="auto"/>
        <w:spacing w:after="0" w:line="240" w:lineRule="auto"/>
        <w:ind w:firstLine="600"/>
        <w:jc w:val="both"/>
        <w:rPr>
          <w:sz w:val="28"/>
          <w:szCs w:val="28"/>
        </w:rPr>
      </w:pPr>
      <w:r w:rsidRPr="00C1537D">
        <w:rPr>
          <w:sz w:val="28"/>
          <w:szCs w:val="28"/>
        </w:rPr>
        <w:t>У разі виявлення перевищень минулорічних показників буде проведено аналіз на предмет зв’язку з реалізацією заходів Програми.</w:t>
      </w:r>
    </w:p>
    <w:p w:rsidR="00FD6EDF" w:rsidRPr="00C1537D" w:rsidRDefault="00FD6EDF" w:rsidP="00FD6EDF">
      <w:pPr>
        <w:pStyle w:val="20"/>
        <w:shd w:val="clear" w:color="auto" w:fill="auto"/>
        <w:spacing w:after="0" w:line="240" w:lineRule="auto"/>
        <w:ind w:firstLine="600"/>
        <w:jc w:val="both"/>
        <w:rPr>
          <w:sz w:val="28"/>
          <w:szCs w:val="28"/>
        </w:rPr>
      </w:pPr>
      <w:r w:rsidRPr="00C1537D">
        <w:rPr>
          <w:sz w:val="28"/>
          <w:szCs w:val="28"/>
        </w:rPr>
        <w:t xml:space="preserve">На підставі результатів державного статистичного спостереження та даних спостережень буде проводитись порівняльний аналіз фактичного стану компонентів довкілля (повітря, вода) з минулорічними показниками. У разі виявлення перевищень минулорічних показників буде проводитись аналіз на предмет зв'язку з реалізацією заходів Програми. </w:t>
      </w:r>
    </w:p>
    <w:p w:rsidR="00FD6EDF" w:rsidRPr="00C1537D" w:rsidRDefault="00FD6EDF" w:rsidP="00FD6EDF">
      <w:pPr>
        <w:pStyle w:val="20"/>
        <w:shd w:val="clear" w:color="auto" w:fill="auto"/>
        <w:spacing w:after="0" w:line="240" w:lineRule="auto"/>
        <w:ind w:firstLine="600"/>
        <w:jc w:val="both"/>
        <w:rPr>
          <w:sz w:val="28"/>
          <w:szCs w:val="28"/>
        </w:rPr>
      </w:pPr>
      <w:r w:rsidRPr="00C1537D">
        <w:rPr>
          <w:sz w:val="28"/>
          <w:szCs w:val="28"/>
        </w:rPr>
        <w:t xml:space="preserve">Впровадження системи моніторингу довкілля дасть можливість забезпечити підвищення рівня точності та достовірності даних про стан повітря та води і формувати чіткіші плани дій для покращення їх якості. </w:t>
      </w:r>
    </w:p>
    <w:p w:rsidR="00FD6EDF" w:rsidRPr="00C1537D" w:rsidRDefault="00FD6EDF" w:rsidP="00FD6EDF">
      <w:pPr>
        <w:pStyle w:val="20"/>
        <w:shd w:val="clear" w:color="auto" w:fill="auto"/>
        <w:spacing w:after="0" w:line="240" w:lineRule="auto"/>
        <w:ind w:firstLine="600"/>
        <w:jc w:val="both"/>
        <w:rPr>
          <w:sz w:val="28"/>
          <w:szCs w:val="28"/>
        </w:rPr>
      </w:pPr>
      <w:r w:rsidRPr="00C1537D">
        <w:rPr>
          <w:sz w:val="28"/>
          <w:szCs w:val="28"/>
        </w:rPr>
        <w:t>Крім того, проводиться порівняння фактичних показників індикаторів виконання заходів Програми за всіма напрямками.</w:t>
      </w:r>
    </w:p>
    <w:p w:rsidR="003D245D" w:rsidRPr="00C1537D" w:rsidRDefault="00FD6EDF" w:rsidP="00C1537D">
      <w:pPr>
        <w:pStyle w:val="20"/>
        <w:shd w:val="clear" w:color="auto" w:fill="auto"/>
        <w:spacing w:after="0" w:line="240" w:lineRule="auto"/>
        <w:ind w:firstLine="567"/>
        <w:jc w:val="both"/>
        <w:rPr>
          <w:sz w:val="28"/>
          <w:szCs w:val="28"/>
        </w:rPr>
      </w:pPr>
      <w:r w:rsidRPr="00C1537D">
        <w:rPr>
          <w:sz w:val="28"/>
          <w:szCs w:val="28"/>
        </w:rPr>
        <w:t>Таким чином, запропоновані показники допоможуть місцевим, регіональним і національним органам влади, а також громадськості, відстежувати вплив на стан довкілля реалізації Програми.</w:t>
      </w:r>
    </w:p>
    <w:sectPr w:rsidR="003D245D" w:rsidRPr="00C1537D" w:rsidSect="00B56A9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47162"/>
    <w:multiLevelType w:val="multilevel"/>
    <w:tmpl w:val="0D12C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6EDF"/>
    <w:rsid w:val="00B56A99"/>
    <w:rsid w:val="00C1537D"/>
    <w:rsid w:val="00E259A1"/>
    <w:rsid w:val="00E60A34"/>
    <w:rsid w:val="00FD6E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FD6ED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D6EDF"/>
    <w:pPr>
      <w:widowControl w:val="0"/>
      <w:shd w:val="clear" w:color="auto" w:fill="FFFFFF"/>
      <w:spacing w:after="4620" w:line="0" w:lineRule="atLeast"/>
      <w:ind w:hanging="380"/>
      <w:jc w:val="center"/>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4535</Words>
  <Characters>2586</Characters>
  <Application>Microsoft Office Word</Application>
  <DocSecurity>0</DocSecurity>
  <Lines>21</Lines>
  <Paragraphs>14</Paragraphs>
  <ScaleCrop>false</ScaleCrop>
  <Company>SPecialiST RePack</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2022-01-27T14:21:00Z</dcterms:created>
  <dcterms:modified xsi:type="dcterms:W3CDTF">2022-01-27T14:23:00Z</dcterms:modified>
</cp:coreProperties>
</file>