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8D4620">
        <w:rPr>
          <w:rFonts w:ascii="Times New Roman" w:hAnsi="Times New Roman" w:cs="Times New Roman"/>
          <w:lang w:val="uk-UA"/>
        </w:rPr>
        <w:t>Лічильників електричної енергії</w:t>
      </w:r>
      <w:r w:rsidR="004422A3" w:rsidRPr="00415846">
        <w:rPr>
          <w:rFonts w:ascii="Times New Roman" w:hAnsi="Times New Roman" w:cs="Times New Roman"/>
          <w:lang w:val="uk-UA"/>
        </w:rPr>
        <w:t>,</w:t>
      </w:r>
      <w:r w:rsidR="008D462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415846" w:rsidRDefault="000B2470" w:rsidP="00415846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15846" w:rsidRPr="00415846">
        <w:rPr>
          <w:rFonts w:ascii="Times New Roman" w:hAnsi="Times New Roman"/>
          <w:b/>
          <w:lang w:val="uk-UA"/>
        </w:rPr>
        <w:t>ДК 021:2015 –</w:t>
      </w:r>
      <w:r w:rsidR="008D4620">
        <w:rPr>
          <w:rFonts w:ascii="Times New Roman" w:hAnsi="Times New Roman"/>
          <w:b/>
          <w:lang w:val="uk-UA"/>
        </w:rPr>
        <w:t>38550000-5</w:t>
      </w:r>
      <w:r w:rsidR="00415846" w:rsidRPr="00415846">
        <w:rPr>
          <w:rFonts w:ascii="Times New Roman" w:hAnsi="Times New Roman"/>
          <w:b/>
          <w:lang w:val="uk-UA"/>
        </w:rPr>
        <w:t>–</w:t>
      </w:r>
      <w:r w:rsidR="008D4620">
        <w:rPr>
          <w:rFonts w:ascii="Times New Roman" w:hAnsi="Times New Roman"/>
          <w:b/>
          <w:lang w:val="uk-UA"/>
        </w:rPr>
        <w:t>Лічильники електричної енергії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Default="008D1323" w:rsidP="00C60C3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534 002,47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від 18.02.2020 №275, шляхом отримання письмових запитів цінових пропозицій у кількості 3 пропозиції 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C60C37"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КП «ГДМБ» в свій діяльності щодо повірки та заміни лічильників електроенергії  дотримується постанови НКРЕКП від 14.03.2018 № 311 та рекомендацій АТ «Миколаївобленерго».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C60C37"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У 2022-2023 роках настав час проводити повірку (інтервал повірки складає 6 років) нижче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C60C37"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вказаних лічильників електроенергії:</w:t>
      </w:r>
    </w:p>
    <w:p w:rsidR="00C60C37" w:rsidRDefault="00C60C37" w:rsidP="00C60C37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</w:pP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Лічильник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електроенергії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трифазний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багатотарифний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ЦЕ6822</w:t>
      </w:r>
    </w:p>
    <w:p w:rsidR="00C60C37" w:rsidRPr="00C60C37" w:rsidRDefault="00C60C37" w:rsidP="00C60C37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Виробництво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ВАТ "Концерн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Енергоміру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 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- 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російська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федерація</w:t>
      </w:r>
      <w:bookmarkStart w:id="0" w:name="_GoBack"/>
      <w:bookmarkEnd w:id="0"/>
      <w:proofErr w:type="spellEnd"/>
    </w:p>
    <w:p w:rsidR="00C60C37" w:rsidRPr="00C60C37" w:rsidRDefault="00C60C37" w:rsidP="00C60C3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Клас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точності-2</w:t>
      </w:r>
    </w:p>
    <w:p w:rsidR="00C60C37" w:rsidRPr="00C60C37" w:rsidRDefault="00C60C37" w:rsidP="00C60C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Знято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із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серійного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виробництва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Лічильник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електроенергії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трифазний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багатотарифний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>Меркурий</w:t>
      </w:r>
      <w:proofErr w:type="spellEnd"/>
      <w:r w:rsidRPr="00C60C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/>
        </w:rPr>
        <w:t xml:space="preserve"> 230</w:t>
      </w:r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Виробництво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: </w:t>
      </w:r>
      <w:proofErr w:type="gram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ТОВ</w:t>
      </w:r>
      <w:proofErr w:type="gram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"Ф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рма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НКОТЕКС"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-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російська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федерація</w:t>
      </w:r>
      <w:proofErr w:type="spellEnd"/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Клас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точності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1</w:t>
      </w:r>
    </w:p>
    <w:p w:rsid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Знято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із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серійного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.</w:t>
      </w:r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Загальною кількістю 103 одиниці</w:t>
      </w:r>
    </w:p>
    <w:p w:rsidR="00415846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Наразі КП «ГДМБ» не може провести повірку цих лічильників електроенергії тому, що вони не входять в перелік рекомендованих приладів обліку АТ «Миколаївобленерго» та не можуть більше застосовуватись для обліку електроенергії.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Враховуючи вище зазначене прогнозована кількісна потреба закупівлі на 2023 рік складає 103 одиниці.</w:t>
      </w:r>
    </w:p>
    <w:p w:rsidR="00C60C37" w:rsidRPr="00C60C37" w:rsidRDefault="00C60C37" w:rsidP="00C60C37">
      <w:pPr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</w:p>
    <w:p w:rsidR="004422A3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lastRenderedPageBreak/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 xml:space="preserve">Постачальник повинен надати Замовнику Товар, якість 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8D4620">
        <w:rPr>
          <w:rFonts w:ascii="Times New Roman" w:hAnsi="Times New Roman" w:cs="Times New Roman"/>
          <w:lang w:val="uk-UA"/>
        </w:rPr>
        <w:t>:</w:t>
      </w:r>
    </w:p>
    <w:p w:rsid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DD4F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ДСТУ 3135.0-95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IEC</w:t>
      </w:r>
      <w:r w:rsidRPr="00DD4F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60335-1:1991) </w:t>
      </w:r>
    </w:p>
    <w:p w:rsid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Відповідти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D4F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«Додатковим вимогам до засобів обліку електроенергії, спрямованим на запобігання несанкціонованому втручанню в їх роботу» ДСТУ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IEC</w:t>
      </w:r>
      <w:r w:rsidRPr="00DD4F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62053-21:2012 або ДСТУ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EN</w:t>
      </w:r>
      <w:r w:rsidRPr="00DD4FC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62053-21:2012</w:t>
      </w:r>
    </w:p>
    <w:p w:rsid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ГОСТ 30207-94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ДСТУ EN 50470-1, ДСТУ EN 62052-11</w:t>
      </w:r>
    </w:p>
    <w:p w:rsid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ступеню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IP54 по ГОСТ 14254-96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ДСТУ EN 50470-1, ДСТУ EN 62052-11</w:t>
      </w:r>
    </w:p>
    <w:p w:rsidR="00DD4FC3" w:rsidRPr="00DD4FC3" w:rsidRDefault="00DD4FC3" w:rsidP="00DD4FC3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-паспортом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або сертифікатом відповідності виробника</w:t>
      </w: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C60C37" w:rsidRDefault="000B2470" w:rsidP="004422A3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C60C37" w:rsidRPr="00C60C37" w:rsidRDefault="00C60C37" w:rsidP="00C60C3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Для визначення технічних характеристик предмету закупівлі підприємство керується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Кодексом комерційного обліку 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електричної енергії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, яким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передбачено самостійне придбання засобів комерційного обліку Замовником з урахування рекомендацій Оператора системи розподілу, які передбачають мінімальні вимоги до класу точності та функціональності засобів вимірювальної техніки (постанова НКРЕКП від 14.03.2018 № 311 п.5.13.1) та додатков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ими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вимог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ами</w:t>
      </w:r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вузлів обліку з </w:t>
      </w:r>
      <w:proofErr w:type="spellStart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інтервальними</w:t>
      </w:r>
      <w:proofErr w:type="spellEnd"/>
      <w:r w:rsidRP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лічильниками (постанова НКРЕКП від 14.03.2018 № 311 п.5.14.2).</w:t>
      </w:r>
    </w:p>
    <w:p w:rsidR="00B35D20" w:rsidRPr="004422A3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до 30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.1</w:t>
      </w:r>
      <w:r w:rsidR="0008539B">
        <w:rPr>
          <w:rStyle w:val="a4"/>
          <w:rFonts w:ascii="Times New Roman" w:hAnsi="Times New Roman" w:cs="Times New Roman"/>
          <w:i w:val="0"/>
          <w:lang w:val="uk-UA"/>
        </w:rPr>
        <w:t>1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CC7D09" w:rsidRPr="004422A3" w:rsidRDefault="00CC7D09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4422A3">
        <w:t xml:space="preserve">Товар </w:t>
      </w:r>
      <w:proofErr w:type="spellStart"/>
      <w:proofErr w:type="gramStart"/>
      <w:r w:rsidRPr="004422A3">
        <w:t>поставляється</w:t>
      </w:r>
      <w:proofErr w:type="spellEnd"/>
      <w:proofErr w:type="gramEnd"/>
      <w:r w:rsidRPr="004422A3">
        <w:t>/</w:t>
      </w:r>
      <w:proofErr w:type="spellStart"/>
      <w:r w:rsidRPr="004422A3">
        <w:t>передається</w:t>
      </w:r>
      <w:proofErr w:type="spellEnd"/>
      <w:r w:rsidRPr="004422A3">
        <w:t xml:space="preserve"> </w:t>
      </w:r>
      <w:proofErr w:type="spellStart"/>
      <w:r w:rsidRPr="004422A3">
        <w:t>виключно</w:t>
      </w:r>
      <w:proofErr w:type="spellEnd"/>
      <w:r w:rsidRPr="004422A3">
        <w:t xml:space="preserve"> </w:t>
      </w:r>
      <w:r w:rsidR="00B35D20" w:rsidRPr="004422A3">
        <w:t>на склад</w:t>
      </w:r>
      <w:r w:rsidRPr="004422A3">
        <w:t xml:space="preserve"> </w:t>
      </w:r>
      <w:proofErr w:type="spellStart"/>
      <w:r w:rsidRPr="004422A3">
        <w:t>Замовника</w:t>
      </w:r>
      <w:proofErr w:type="spellEnd"/>
      <w:r w:rsidRPr="004422A3">
        <w:t xml:space="preserve"> </w:t>
      </w:r>
      <w:r w:rsidR="00B35D20" w:rsidRPr="004422A3">
        <w:t xml:space="preserve">в </w:t>
      </w:r>
      <w:proofErr w:type="spellStart"/>
      <w:r w:rsidR="00B35D20" w:rsidRPr="004422A3">
        <w:t>кількості</w:t>
      </w:r>
      <w:proofErr w:type="spellEnd"/>
      <w:r w:rsidR="00B35D20" w:rsidRPr="004422A3">
        <w:t xml:space="preserve"> та </w:t>
      </w:r>
      <w:proofErr w:type="spellStart"/>
      <w:r w:rsidR="00B35D20" w:rsidRPr="004422A3">
        <w:t>розмірах</w:t>
      </w:r>
      <w:proofErr w:type="spellEnd"/>
      <w:r w:rsidR="00B35D20" w:rsidRPr="004422A3">
        <w:t xml:space="preserve"> </w:t>
      </w:r>
      <w:proofErr w:type="spellStart"/>
      <w:r w:rsidR="00B35D20" w:rsidRPr="004422A3">
        <w:t>відповідно</w:t>
      </w:r>
      <w:proofErr w:type="spellEnd"/>
      <w:r w:rsidR="00B35D20" w:rsidRPr="004422A3">
        <w:t xml:space="preserve"> </w:t>
      </w:r>
      <w:r w:rsidR="004422A3" w:rsidRPr="004422A3">
        <w:t xml:space="preserve">до </w:t>
      </w:r>
      <w:proofErr w:type="spellStart"/>
      <w:r w:rsidR="004422A3" w:rsidRPr="004422A3">
        <w:t>замовлень</w:t>
      </w:r>
      <w:proofErr w:type="spellEnd"/>
      <w:r w:rsidR="004422A3" w:rsidRPr="004422A3">
        <w:t xml:space="preserve"> </w:t>
      </w:r>
      <w:proofErr w:type="spellStart"/>
      <w:r w:rsidR="004422A3" w:rsidRPr="004422A3">
        <w:t>Покупця</w:t>
      </w:r>
      <w:proofErr w:type="spellEnd"/>
      <w:r w:rsidR="004422A3" w:rsidRPr="004422A3">
        <w:t xml:space="preserve"> </w:t>
      </w:r>
      <w:proofErr w:type="spellStart"/>
      <w:r w:rsidR="004422A3" w:rsidRPr="004422A3">
        <w:t>протягом</w:t>
      </w:r>
      <w:proofErr w:type="spellEnd"/>
      <w:r w:rsidR="004422A3" w:rsidRPr="004422A3">
        <w:t xml:space="preserve"> </w:t>
      </w:r>
      <w:r w:rsidR="004422A3" w:rsidRPr="004422A3">
        <w:rPr>
          <w:lang w:val="uk-UA"/>
        </w:rPr>
        <w:t>30</w:t>
      </w:r>
      <w:r w:rsidR="004422A3" w:rsidRPr="004422A3">
        <w:t xml:space="preserve"> </w:t>
      </w:r>
      <w:r w:rsidR="00DD4FC3">
        <w:rPr>
          <w:lang w:val="uk-UA"/>
        </w:rPr>
        <w:t>робочих</w:t>
      </w:r>
      <w:r w:rsidR="004422A3" w:rsidRPr="004422A3">
        <w:t xml:space="preserve"> </w:t>
      </w:r>
      <w:proofErr w:type="spellStart"/>
      <w:r w:rsidR="004422A3" w:rsidRPr="004422A3">
        <w:t>днів</w:t>
      </w:r>
      <w:proofErr w:type="spellEnd"/>
      <w:r w:rsidR="004422A3" w:rsidRPr="004422A3">
        <w:t xml:space="preserve"> з моменту </w:t>
      </w:r>
      <w:proofErr w:type="spellStart"/>
      <w:r w:rsidR="004422A3" w:rsidRPr="004422A3">
        <w:t>отримання</w:t>
      </w:r>
      <w:proofErr w:type="spellEnd"/>
      <w:r w:rsidR="004422A3" w:rsidRPr="004422A3">
        <w:t xml:space="preserve"> </w:t>
      </w:r>
      <w:proofErr w:type="spellStart"/>
      <w:r w:rsidR="004422A3" w:rsidRPr="004422A3">
        <w:t>Постачальником</w:t>
      </w:r>
      <w:proofErr w:type="spellEnd"/>
      <w:r w:rsidR="004422A3" w:rsidRPr="004422A3">
        <w:t xml:space="preserve"> такого </w:t>
      </w:r>
      <w:proofErr w:type="spellStart"/>
      <w:r w:rsidR="004422A3" w:rsidRPr="004422A3">
        <w:t>замовлення</w:t>
      </w:r>
      <w:proofErr w:type="spellEnd"/>
      <w:r w:rsidRPr="004422A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"/>
        <w:gridCol w:w="4270"/>
        <w:gridCol w:w="3003"/>
        <w:gridCol w:w="1362"/>
      </w:tblGrid>
      <w:tr w:rsidR="00DD4FC3" w:rsidRPr="000E58F6" w:rsidTr="00BF271B">
        <w:trPr>
          <w:trHeight w:val="5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критеріїв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оцінки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приладів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іку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шт</w:t>
            </w:r>
            <w:proofErr w:type="spellEnd"/>
            <w:proofErr w:type="gramEnd"/>
          </w:p>
        </w:tc>
      </w:tr>
      <w:tr w:rsidR="00DD4FC3" w:rsidRPr="000E58F6" w:rsidTr="00BF271B">
        <w:trPr>
          <w:trHeight w:val="576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D4FC3" w:rsidRPr="006E0572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Техн</w:t>
            </w:r>
            <w:proofErr w:type="gram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ічні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характеристики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електронного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лічильника</w:t>
            </w:r>
            <w:proofErr w:type="spellEnd"/>
          </w:p>
        </w:tc>
      </w:tr>
      <w:tr w:rsidR="00DD4FC3" w:rsidRPr="000E58F6" w:rsidTr="00BF271B">
        <w:trPr>
          <w:trHeight w:val="4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Вимірювальна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А+,R+, R-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103</w:t>
            </w:r>
          </w:p>
        </w:tc>
      </w:tr>
      <w:tr w:rsidR="00DD4FC3" w:rsidRPr="000E58F6" w:rsidTr="00BF271B">
        <w:trPr>
          <w:trHeight w:val="4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активної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нижче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точності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реактивної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нижче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4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вимірювальних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трансформатори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3х220/380В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4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Початкова сила струму,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Ist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Мінімальна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сила струму,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Imin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40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Перехідна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сила струму,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Itr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4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9.         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сила струму,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Максимальна сила струму,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0,8-1,15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12.      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Чутливість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13.      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Міжповірочний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(МПП)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6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14.      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Діапазон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Похибка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1,0 %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діапазоні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температур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-40 ...+70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°С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7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15.      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Споживана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потужність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в колах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, В·A (Вт)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(2)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Споживана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потужність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в колах струму (I =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I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), B·A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ільше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індикатора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що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видає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імпульси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синхронно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телеметричним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виходом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телеметричного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повірочного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виходу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вигляді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термінального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блоку з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іпленням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гвинт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Правильна робота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при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будь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яких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комбінаціях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напруг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Правильна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робота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зворотному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потоці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потужності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Правильна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робота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несиметричному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трифазному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uk-UA"/>
              </w:rPr>
              <w:t>навантаженні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вході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23.      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механізм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ідкокристалічний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6-цілої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+2десятої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24.      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6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25.      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сезоні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оптичного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інтерфейсу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локального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зчитування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ідтримка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обміну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МЕК 62056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29.      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енергонезалежний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пам’яті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180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30.      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енергонезалежний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пам’яті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спожитій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кінець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180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31.      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енергонезалежний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пам’яті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спожитій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кінець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місяці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32.      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запрограмованого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зникнень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33.      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енергонезалежній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пам’яті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середніх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фазах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,B,C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інтеграції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хвилин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діб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34.      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часу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останніх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програмувань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тарифної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ітки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35.      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точки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навісною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пломбою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оптопорту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паролів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другого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івнів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оптичного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інтерфейсу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локального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зчитування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реле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навантаження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ідтримка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обміну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МЕК 62056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паролів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другого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івнів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доступу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модуль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передачі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RS485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Ізоляційні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 30207-9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50470-1, ДСТУ EN 62052-11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D4FC3" w:rsidRPr="006E0572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Вимоги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конструкції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технології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зборки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лічильника</w:t>
            </w:r>
            <w:proofErr w:type="spellEnd"/>
          </w:p>
        </w:tc>
      </w:tr>
      <w:tr w:rsidR="00DD4FC3" w:rsidRPr="000E58F6" w:rsidTr="00BF271B">
        <w:trPr>
          <w:trHeight w:val="17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43.      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повірки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пластмасова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алюмінієва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луженому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армованій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лісці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альтернатива 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процедурою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ічними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регламентами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діючими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D4FC3" w:rsidRPr="000E58F6" w:rsidTr="00BF271B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44.      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пломб через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пломбувальний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гвинт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ідлив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корпусі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пломбування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45.      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закривати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пломбу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повірки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візуального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контролю)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сне</w:t>
            </w:r>
            <w:proofErr w:type="spellEnd"/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батарейки без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вскриття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корпусу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пломбування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батарейки)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колодки повинна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непрозорою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неможливості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ідключення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Конструкція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корпусу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(цоколю та кожуху)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нероз’ємною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Кожух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роз’єднуватись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цоколю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тільки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корпусу (кожуха та цоколю)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табличка (щиток)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повинен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1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надписи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щитку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виконуватися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способом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офсетний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тамподрук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гравіровка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лазерна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гравіровка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без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будь-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наклейок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дублювання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номеру та року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штрих-кодом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нанесеним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табличці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5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52.      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візуального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струмових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датчиків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механізму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верхньої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корпусу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цоколь корпусу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прозорими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53.      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щілин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54.      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корпусу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цоколі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кожуху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нанесені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заводському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номеру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таким чином,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унеможливлює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підробку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нанесені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способом)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3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55.      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одноразової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встановлюється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одному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стяжних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гвинтів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нанесення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дублювання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номеру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корпус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таким чином,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щоб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охопити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верхню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(кожух)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(цоколь)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корпусу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(номер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пломби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нанесений 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промисловим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способом)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1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стандартне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посадкове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на DIN-рейку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Отвори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іплення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індукційних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трифазних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 СА4У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затискувача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розраховані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максимальний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струм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3135.0-95 (IEC 60335-1:1991)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кріплення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колодці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двома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гвинтами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М5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більшими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6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Неможливість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ковпака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перегородок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фазними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клемами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неможливості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короткого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замикання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76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D4FC3" w:rsidRPr="006E0572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Вимоги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захисту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від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зовнішнього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впливу</w:t>
            </w:r>
            <w:proofErr w:type="spellEnd"/>
          </w:p>
        </w:tc>
      </w:tr>
      <w:tr w:rsidR="00DD4FC3" w:rsidRPr="000E58F6" w:rsidTr="00BF271B">
        <w:trPr>
          <w:trHeight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61.      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вимогам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електроенергії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спрямованим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несанкціонованому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втручанню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роботу» ДСТУ IEC 62053-21:2012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62053-21:2012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D4FC3" w:rsidRPr="000E58F6" w:rsidTr="00BF271B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62.      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відключенні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нульового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дроту та одного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фазних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дротів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допустимою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похибкою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0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63.      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енергії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гармонік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несинусоїдальності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струму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складової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допустимою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похибкою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11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64.      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Індикація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зворотного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струму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6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65.      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створюваного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струмом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частоти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однакової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частотою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Змінне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електромагнітом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поперечним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перерізом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7,0 см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індукцією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100мТл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4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електромагнітного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напруженістю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/м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діапазоні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частот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80 до 2000 МГц.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6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Поле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створюється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поперечним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перерізом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5,0 см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індукцією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300мТл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радіозавад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іскрових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напруги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15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через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повітряний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зазор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нагрівання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вогню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 30207-94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50470-1, ДСТУ EN 62052-11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70.      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механічних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 30207-94</w:t>
            </w:r>
            <w:r w:rsidRPr="002158AA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71.      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захищені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сонячної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радіації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ізкої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температури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ГОСТ 30207-94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50470-1, ДСТУ EN 62052-11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3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72.      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повинні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високий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ступінь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проникнення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пилу й води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ступеню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захисту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IP54 по ГОСТ 14254-96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EN 50470-1, ДСТУ EN 62052-11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6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73.      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ійким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кліматичних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атмосферних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комутаційних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перенапружень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грозових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розрядів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нормальну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 при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всиновлені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всередині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виносної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шафи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обліку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1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74.      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датчику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відкриття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клемної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кришки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24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75.      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багаторазового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частоти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силові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характеристики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перевищують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порогове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мТл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(Постанова НКРЕ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14.10.2010 N 1338). Факт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повинен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відображатися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табло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також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фіксуватися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 з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міткою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часу.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паспорті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відмітки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вбудований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багаторазовий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фіксації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впливу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елементи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зовнішнього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магнітного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поля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мережевої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частоти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силові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характеристики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перевищують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порогове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100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D4FC3" w:rsidRPr="006E0572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Гарантійні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умови</w:t>
            </w:r>
            <w:proofErr w:type="spellEnd"/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76.      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лічильника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24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77.      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роки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78.      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Середнє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напрацювання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годин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менше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200000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30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DD4FC3" w:rsidRPr="006E0572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вимоги</w:t>
            </w:r>
            <w:proofErr w:type="spellEnd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6E05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>Учасника</w:t>
            </w:r>
            <w:proofErr w:type="spellEnd"/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79.      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паспорту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ічильника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DD4FC3" w:rsidRPr="000E58F6" w:rsidTr="00BF271B">
        <w:trPr>
          <w:trHeight w:val="5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80.      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монтажу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експлуатації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1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81.      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Представлення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затвердженому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вимірювальної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передбачені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процедурою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регламентами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діючими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Регламент №94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3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82.      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якщо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не є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лист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скріплений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печаткою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ідписом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посадової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поставку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учаснику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обсягах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асортименті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предмета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Або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надається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дійсний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сертифікат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дилера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дистриб'ютора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D4FC3" w:rsidRPr="000E58F6" w:rsidTr="00BF271B">
        <w:trPr>
          <w:trHeight w:val="26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  <w:r w:rsidRPr="002158AA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   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сервісних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центрів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заводу-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котрі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офіційну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ліцензію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заводу-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гарантійного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відновлюючого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ремонту ПО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даного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типу,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заміни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proofErr w:type="gram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випадку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дефектів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постачальника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заводу-</w:t>
            </w: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виробника</w:t>
            </w:r>
            <w:proofErr w:type="spellEnd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158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Обов'язково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4FC3" w:rsidRPr="002158AA" w:rsidRDefault="00DD4FC3" w:rsidP="00BF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8539B"/>
    <w:rsid w:val="000B2470"/>
    <w:rsid w:val="000F2E58"/>
    <w:rsid w:val="001C10C2"/>
    <w:rsid w:val="002926E1"/>
    <w:rsid w:val="00415846"/>
    <w:rsid w:val="004422A3"/>
    <w:rsid w:val="00500E2F"/>
    <w:rsid w:val="005B1D27"/>
    <w:rsid w:val="005C6ACF"/>
    <w:rsid w:val="006320DC"/>
    <w:rsid w:val="00636EDE"/>
    <w:rsid w:val="006E62C9"/>
    <w:rsid w:val="007D7D34"/>
    <w:rsid w:val="008D1323"/>
    <w:rsid w:val="008D4620"/>
    <w:rsid w:val="00900F32"/>
    <w:rsid w:val="009C2A03"/>
    <w:rsid w:val="00A15C86"/>
    <w:rsid w:val="00A50F5F"/>
    <w:rsid w:val="00B35D20"/>
    <w:rsid w:val="00B82ACE"/>
    <w:rsid w:val="00C55CA6"/>
    <w:rsid w:val="00C60C37"/>
    <w:rsid w:val="00C93E12"/>
    <w:rsid w:val="00CC7D09"/>
    <w:rsid w:val="00D344A9"/>
    <w:rsid w:val="00D447BA"/>
    <w:rsid w:val="00D5792E"/>
    <w:rsid w:val="00D70C7E"/>
    <w:rsid w:val="00DA4B2B"/>
    <w:rsid w:val="00DB048F"/>
    <w:rsid w:val="00DD4FC3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dcterms:created xsi:type="dcterms:W3CDTF">2023-03-23T06:26:00Z</dcterms:created>
  <dcterms:modified xsi:type="dcterms:W3CDTF">2023-04-19T13:16:00Z</dcterms:modified>
</cp:coreProperties>
</file>