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spacing w:before="0" w:after="0"/>
        <w:rPr>
          <w:rFonts w:hint="eastAsia"/>
          <w:lang w:val="ru-RU"/>
        </w:rPr>
      </w:pPr>
      <w:r>
        <w:rPr>
          <w:sz w:val="20"/>
          <w:szCs w:val="28"/>
        </w:rPr>
        <w:t>v</w:t>
      </w:r>
      <w:r>
        <w:rPr>
          <w:sz w:val="20"/>
          <w:szCs w:val="28"/>
        </w:rPr>
        <w:t>-fk</w:t>
      </w:r>
      <w:r>
        <w:rPr>
          <w:sz w:val="20"/>
          <w:szCs w:val="28"/>
        </w:rPr>
        <w:t>-</w:t>
      </w:r>
      <w:r>
        <w:rPr>
          <w:sz w:val="20"/>
          <w:szCs w:val="28"/>
        </w:rPr>
        <w:t>076</w:t>
      </w: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67"/>
        <w:ind w:left="0" w:right="5443"/>
        <w:jc w:val="both"/>
        <w:rPr>
          <w:color w:val="000000"/>
          <w:szCs w:val="28"/>
        </w:rPr>
      </w:pPr>
    </w:p>
    <w:p>
      <w:pPr>
        <w:pStyle w:val="style179"/>
        <w:tabs>
          <w:tab w:val="left" w:leader="none" w:pos="1134"/>
        </w:tabs>
        <w:spacing w:lineRule="auto" w:line="235"/>
        <w:ind w:left="0" w:right="3968"/>
        <w:jc w:val="both"/>
        <w:rPr/>
      </w:pPr>
      <w:r>
        <w:rPr>
          <w:szCs w:val="28"/>
        </w:rPr>
        <w:t xml:space="preserve">Про визначення </w:t>
      </w:r>
      <w:r>
        <w:rPr>
          <w:szCs w:val="28"/>
        </w:rPr>
        <w:t xml:space="preserve">набувачів </w:t>
      </w:r>
      <w:r>
        <w:rPr>
          <w:szCs w:val="28"/>
        </w:rPr>
        <w:t xml:space="preserve">гуманітарної </w:t>
      </w:r>
      <w:r>
        <w:rPr>
          <w:szCs w:val="28"/>
        </w:rPr>
        <w:t>д</w:t>
      </w:r>
      <w:r>
        <w:rPr>
          <w:szCs w:val="28"/>
        </w:rPr>
        <w:t>опомоги між</w:t>
      </w:r>
      <w:r>
        <w:rPr>
          <w:szCs w:val="28"/>
        </w:rPr>
        <w:t xml:space="preserve"> виконавчими органами та</w:t>
      </w:r>
      <w:r>
        <w:rPr>
          <w:szCs w:val="28"/>
        </w:rPr>
        <w:t xml:space="preserve"> </w:t>
      </w:r>
      <w:r>
        <w:rPr>
          <w:szCs w:val="28"/>
        </w:rPr>
        <w:t xml:space="preserve">комунальними </w:t>
      </w:r>
      <w:r>
        <w:rPr>
          <w:szCs w:val="28"/>
        </w:rPr>
        <w:t>підприємствами</w:t>
      </w:r>
      <w:r>
        <w:rPr>
          <w:szCs w:val="28"/>
        </w:rPr>
        <w:t xml:space="preserve"> </w:t>
      </w:r>
      <w:r>
        <w:rPr>
          <w:szCs w:val="28"/>
        </w:rPr>
        <w:t>М</w:t>
      </w:r>
      <w:r>
        <w:rPr>
          <w:szCs w:val="28"/>
        </w:rPr>
        <w:t>иколаївської міської ради</w:t>
      </w:r>
      <w:r>
        <w:rPr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отриманої від</w:t>
      </w:r>
      <w:r>
        <w:rPr>
          <w:color w:val="000000"/>
          <w:szCs w:val="28"/>
        </w:rPr>
        <w:t xml:space="preserve"> </w:t>
      </w:r>
      <w:r>
        <w:t>г</w:t>
      </w:r>
      <w:r>
        <w:t>р</w:t>
      </w:r>
      <w:r>
        <w:t>омадської організації «Агентство ефективних рішень»</w:t>
      </w:r>
    </w:p>
    <w:p>
      <w:pPr>
        <w:pStyle w:val="style179"/>
        <w:tabs>
          <w:tab w:val="left" w:leader="none" w:pos="1134"/>
        </w:tabs>
        <w:spacing w:lineRule="auto" w:line="235"/>
        <w:ind w:left="0" w:right="109"/>
        <w:rPr>
          <w:color w:val="000000"/>
          <w:szCs w:val="28"/>
        </w:rPr>
      </w:pPr>
    </w:p>
    <w:p>
      <w:pPr>
        <w:pStyle w:val="style179"/>
        <w:tabs>
          <w:tab w:val="left" w:leader="none" w:pos="1134"/>
        </w:tabs>
        <w:spacing w:lineRule="auto" w:line="235"/>
        <w:ind w:left="0" w:right="109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>
        <w:rPr>
          <w:color w:val="000000"/>
          <w:szCs w:val="28"/>
        </w:rPr>
        <w:t xml:space="preserve"> метою забезпечення ефективного використання отриманої </w:t>
      </w:r>
      <w:r>
        <w:rPr>
          <w:color w:val="000000"/>
          <w:szCs w:val="28"/>
        </w:rPr>
        <w:t>гуманітарної</w:t>
      </w:r>
      <w:r>
        <w:rPr>
          <w:color w:val="000000"/>
          <w:szCs w:val="28"/>
        </w:rPr>
        <w:t xml:space="preserve"> допомоги для Миколаївської мі</w:t>
      </w:r>
      <w:r>
        <w:rPr>
          <w:color w:val="000000"/>
          <w:szCs w:val="28"/>
        </w:rPr>
        <w:t xml:space="preserve">ської територіальної громади, </w:t>
      </w:r>
      <w:r>
        <w:rPr>
          <w:color w:val="000000"/>
          <w:szCs w:val="28"/>
        </w:rPr>
        <w:t>виконавчих органів</w:t>
      </w:r>
      <w:r>
        <w:rPr>
          <w:color w:val="000000"/>
          <w:szCs w:val="28"/>
        </w:rPr>
        <w:t xml:space="preserve">  та </w:t>
      </w:r>
      <w:r>
        <w:rPr>
          <w:color w:val="000000"/>
          <w:szCs w:val="28"/>
        </w:rPr>
        <w:t>комунальних підприємств</w:t>
      </w:r>
      <w:r>
        <w:rPr>
          <w:color w:val="000000"/>
          <w:szCs w:val="28"/>
        </w:rPr>
        <w:t xml:space="preserve"> Миколаївської міської ради</w:t>
      </w:r>
      <w:r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враховуючи </w:t>
      </w:r>
      <w:r>
        <w:rPr>
          <w:color w:val="000000"/>
          <w:szCs w:val="28"/>
        </w:rPr>
        <w:t xml:space="preserve">документи про передачу гуманітарної </w:t>
      </w:r>
      <w:r>
        <w:rPr>
          <w:color w:val="000000"/>
          <w:szCs w:val="28"/>
        </w:rPr>
        <w:t xml:space="preserve">допомоги, </w:t>
      </w:r>
      <w:r>
        <w:rPr>
          <w:color w:val="000000"/>
          <w:szCs w:val="28"/>
        </w:rPr>
        <w:t>отрима</w:t>
      </w:r>
      <w:r>
        <w:rPr>
          <w:color w:val="000000"/>
          <w:szCs w:val="28"/>
        </w:rPr>
        <w:t xml:space="preserve">ної від </w:t>
      </w:r>
      <w:r>
        <w:rPr>
          <w:color w:val="000000"/>
          <w:szCs w:val="28"/>
        </w:rPr>
        <w:t>г</w:t>
      </w:r>
      <w:r>
        <w:rPr>
          <w:color w:val="000000"/>
          <w:szCs w:val="28"/>
        </w:rPr>
        <w:t>ро</w:t>
      </w:r>
      <w:r>
        <w:rPr>
          <w:color w:val="000000"/>
          <w:szCs w:val="28"/>
        </w:rPr>
        <w:t>мадської організації «Агентство ефективних рішень»</w:t>
      </w:r>
      <w:r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відповідно до рішення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Миколаївської</w:t>
      </w:r>
      <w:r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міської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ради від 08.09.2022 №14/59 «</w:t>
      </w:r>
      <w: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керуючись </w:t>
      </w:r>
      <w:r>
        <w:rPr>
          <w:color w:val="000000"/>
          <w:szCs w:val="28"/>
        </w:rPr>
        <w:t>Закон</w:t>
      </w:r>
      <w:r>
        <w:rPr>
          <w:color w:val="000000"/>
          <w:szCs w:val="28"/>
        </w:rPr>
        <w:t>ом</w:t>
      </w:r>
      <w:r>
        <w:rPr>
          <w:color w:val="000000"/>
          <w:szCs w:val="28"/>
        </w:rPr>
        <w:t xml:space="preserve"> України «Про гуманітарну допомогу»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ст.ст.52, 59 Закону України «Про місцеве самоврядування в Україні», виконком міської ради</w:t>
      </w:r>
    </w:p>
    <w:p>
      <w:pPr>
        <w:pStyle w:val="style0"/>
        <w:ind w:firstLine="567"/>
        <w:jc w:val="both"/>
        <w:rPr>
          <w:color w:val="000000"/>
          <w:szCs w:val="28"/>
        </w:rPr>
      </w:pPr>
    </w:p>
    <w:p>
      <w:pPr>
        <w:pStyle w:val="style0"/>
        <w:jc w:val="both"/>
        <w:rPr>
          <w:szCs w:val="28"/>
        </w:rPr>
      </w:pPr>
      <w:r>
        <w:rPr>
          <w:color w:val="000000"/>
          <w:szCs w:val="28"/>
        </w:rPr>
        <w:t>ВИРІШИВ:</w:t>
      </w:r>
    </w:p>
    <w:p>
      <w:pPr>
        <w:pStyle w:val="style0"/>
        <w:ind w:firstLine="567"/>
        <w:jc w:val="both"/>
        <w:rPr>
          <w:color w:val="000000"/>
          <w:szCs w:val="28"/>
        </w:rPr>
      </w:pPr>
    </w:p>
    <w:p>
      <w:pPr>
        <w:pStyle w:val="style179"/>
        <w:tabs>
          <w:tab w:val="left" w:leader="none" w:pos="1134"/>
        </w:tabs>
        <w:spacing w:lineRule="auto" w:line="235"/>
        <w:ind w:left="0" w:right="109" w:firstLine="567"/>
        <w:jc w:val="both"/>
        <w:rPr/>
      </w:pPr>
      <w:r>
        <w:rPr>
          <w:rFonts w:eastAsia="Calibri"/>
          <w:color w:val="000000"/>
          <w:spacing w:val="-2"/>
          <w:kern w:val="1"/>
          <w:szCs w:val="28"/>
        </w:rPr>
        <w:t xml:space="preserve">1. </w:t>
      </w:r>
      <w:r>
        <w:rPr>
          <w:rFonts w:eastAsia="Calibri"/>
          <w:color w:val="000000"/>
          <w:spacing w:val="-2"/>
          <w:kern w:val="1"/>
          <w:szCs w:val="28"/>
        </w:rPr>
        <w:t xml:space="preserve">Визначити </w:t>
      </w:r>
      <w:r>
        <w:rPr>
          <w:rFonts w:eastAsia="Calibri"/>
          <w:color w:val="000000"/>
          <w:spacing w:val="-2"/>
          <w:kern w:val="1"/>
          <w:szCs w:val="28"/>
        </w:rPr>
        <w:t>набувачів</w:t>
      </w:r>
      <w:r>
        <w:rPr>
          <w:rFonts w:eastAsia="Calibri"/>
          <w:color w:val="000000"/>
          <w:spacing w:val="-2"/>
          <w:kern w:val="1"/>
          <w:szCs w:val="28"/>
        </w:rPr>
        <w:t xml:space="preserve"> прийнятої до комунальної власності Миколаївської міської територіальної громади гуманітарної допомоги</w:t>
      </w:r>
      <w:r>
        <w:rPr>
          <w:rFonts w:eastAsia="Calibri"/>
          <w:color w:val="000000"/>
          <w:spacing w:val="-2"/>
          <w:kern w:val="1"/>
          <w:szCs w:val="28"/>
        </w:rPr>
        <w:t>,</w:t>
      </w:r>
      <w:r>
        <w:rPr>
          <w:rFonts w:eastAsia="Calibri"/>
          <w:color w:val="000000"/>
          <w:spacing w:val="-2"/>
          <w:kern w:val="1"/>
          <w:szCs w:val="28"/>
        </w:rPr>
        <w:t xml:space="preserve"> </w:t>
      </w:r>
      <w:r>
        <w:rPr>
          <w:color w:val="000000"/>
          <w:szCs w:val="28"/>
        </w:rPr>
        <w:t>отриманої від г</w:t>
      </w:r>
      <w:r>
        <w:rPr>
          <w:color w:val="000000"/>
          <w:szCs w:val="28"/>
        </w:rPr>
        <w:t>ромадської організації «Агентство ефективних рішень»</w:t>
      </w:r>
      <w:r>
        <w:rPr>
          <w:color w:val="000000"/>
          <w:szCs w:val="28"/>
        </w:rPr>
        <w:t xml:space="preserve">, </w:t>
      </w:r>
      <w:r>
        <w:rPr>
          <w:rFonts w:eastAsia="Calibri"/>
          <w:color w:val="000000"/>
          <w:spacing w:val="-2"/>
          <w:kern w:val="1"/>
          <w:szCs w:val="28"/>
        </w:rPr>
        <w:t xml:space="preserve">згідно </w:t>
      </w:r>
      <w:r>
        <w:rPr>
          <w:rFonts w:eastAsia="Calibri"/>
          <w:color w:val="000000"/>
          <w:spacing w:val="-2"/>
          <w:kern w:val="1"/>
          <w:szCs w:val="28"/>
        </w:rPr>
        <w:t>з</w:t>
      </w:r>
      <w:r>
        <w:rPr>
          <w:rFonts w:eastAsia="Calibri"/>
          <w:color w:val="000000"/>
          <w:spacing w:val="-2"/>
          <w:kern w:val="1"/>
          <w:szCs w:val="28"/>
        </w:rPr>
        <w:t xml:space="preserve"> </w:t>
      </w:r>
      <w:r>
        <w:t xml:space="preserve">Переліком </w:t>
      </w:r>
      <w:r>
        <w:t xml:space="preserve">гуманітарної допомоги, </w:t>
      </w:r>
      <w:r>
        <w:rPr>
          <w:color w:val="000000"/>
          <w:szCs w:val="28"/>
        </w:rPr>
        <w:t>отриманої від громадської</w:t>
      </w:r>
      <w:r>
        <w:rPr>
          <w:color w:val="000000"/>
          <w:szCs w:val="28"/>
        </w:rPr>
        <w:t xml:space="preserve"> організації «Агентство ефективних рішень»</w:t>
      </w:r>
      <w:r>
        <w:rPr>
          <w:color w:val="000000"/>
          <w:szCs w:val="28"/>
        </w:rPr>
        <w:t xml:space="preserve">, </w:t>
      </w:r>
      <w:r>
        <w:t>для потреб Миколаївської міської територіальної громади</w:t>
      </w:r>
      <w:r>
        <w:t xml:space="preserve"> (</w:t>
      </w:r>
      <w:r>
        <w:t xml:space="preserve">далі ‒ Перелік, </w:t>
      </w:r>
      <w:r>
        <w:t>додається).</w:t>
      </w:r>
    </w:p>
    <w:p>
      <w:pPr>
        <w:pStyle w:val="style179"/>
        <w:tabs>
          <w:tab w:val="left" w:leader="none" w:pos="1134"/>
        </w:tabs>
        <w:spacing w:lineRule="auto" w:line="235"/>
        <w:ind w:left="0" w:right="109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2. Управлінню комунального майна Миколаївської міської ради (</w:t>
      </w:r>
      <w:r>
        <w:rPr>
          <w:rFonts w:eastAsia="Calibri"/>
          <w:color w:val="000000"/>
          <w:spacing w:val="-2"/>
          <w:kern w:val="1"/>
          <w:szCs w:val="28"/>
        </w:rPr>
        <w:t>Мкртчяну</w:t>
      </w:r>
      <w:r>
        <w:rPr>
          <w:rFonts w:eastAsia="Calibri"/>
          <w:color w:val="000000"/>
          <w:spacing w:val="-2"/>
          <w:kern w:val="1"/>
          <w:szCs w:val="28"/>
        </w:rPr>
        <w:t>) вжити заходів щодо підготовки розпорядження про пере</w:t>
      </w:r>
      <w:r>
        <w:rPr>
          <w:rFonts w:eastAsia="Calibri"/>
          <w:color w:val="000000"/>
          <w:spacing w:val="-2"/>
          <w:kern w:val="1"/>
          <w:szCs w:val="28"/>
        </w:rPr>
        <w:t xml:space="preserve">дачу на баланс </w:t>
      </w:r>
      <w:r>
        <w:rPr>
          <w:rFonts w:eastAsia="Calibri"/>
          <w:color w:val="000000"/>
          <w:spacing w:val="-2"/>
          <w:kern w:val="1"/>
          <w:szCs w:val="28"/>
        </w:rPr>
        <w:t>балансоутримувачів</w:t>
      </w:r>
      <w:r>
        <w:rPr>
          <w:rFonts w:eastAsia="Calibri"/>
          <w:color w:val="000000"/>
          <w:spacing w:val="-2"/>
          <w:kern w:val="1"/>
          <w:szCs w:val="28"/>
        </w:rPr>
        <w:t xml:space="preserve"> (набувачів</w:t>
      </w:r>
      <w:r>
        <w:rPr>
          <w:rFonts w:eastAsia="Calibri"/>
          <w:color w:val="000000"/>
          <w:spacing w:val="-2"/>
          <w:kern w:val="1"/>
          <w:szCs w:val="28"/>
        </w:rPr>
        <w:t>) прийнятої до комунальної власності Миколаївської міської територіальної громади гуманітарно</w:t>
      </w:r>
      <w:r>
        <w:rPr>
          <w:rFonts w:eastAsia="Calibri"/>
          <w:color w:val="000000"/>
          <w:spacing w:val="-2"/>
          <w:kern w:val="1"/>
          <w:szCs w:val="28"/>
        </w:rPr>
        <w:t>ї допомоги</w:t>
      </w:r>
      <w:bookmarkStart w:id="0" w:name="_GoBack"/>
      <w:bookmarkEnd w:id="0"/>
      <w:r>
        <w:rPr>
          <w:rFonts w:eastAsia="Calibri"/>
          <w:color w:val="000000"/>
          <w:spacing w:val="-2"/>
          <w:kern w:val="1"/>
          <w:szCs w:val="28"/>
        </w:rPr>
        <w:t xml:space="preserve"> згідно з </w:t>
      </w:r>
      <w:r>
        <w:rPr>
          <w:rFonts w:eastAsia="Calibri"/>
          <w:color w:val="000000"/>
          <w:spacing w:val="-2"/>
          <w:kern w:val="1"/>
          <w:szCs w:val="28"/>
        </w:rPr>
        <w:t>Переліком</w:t>
      </w:r>
      <w:r>
        <w:rPr>
          <w:rFonts w:eastAsia="Calibri"/>
          <w:color w:val="000000"/>
          <w:spacing w:val="-2"/>
          <w:kern w:val="1"/>
          <w:szCs w:val="28"/>
        </w:rPr>
        <w:t>.</w:t>
      </w:r>
    </w:p>
    <w:p>
      <w:pPr>
        <w:pStyle w:val="style0"/>
        <w:ind w:firstLine="567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.Контроль за виконанням</w:t>
      </w:r>
      <w:r>
        <w:rPr>
          <w:szCs w:val="24"/>
        </w:rPr>
        <w:t xml:space="preserve"> даного</w:t>
      </w:r>
      <w:r>
        <w:rPr>
          <w:szCs w:val="24"/>
        </w:rPr>
        <w:t xml:space="preserve"> рішення</w:t>
      </w:r>
      <w:r>
        <w:rPr>
          <w:szCs w:val="24"/>
        </w:rPr>
        <w:t xml:space="preserve"> покласти на</w:t>
      </w:r>
      <w:r>
        <w:rPr>
          <w:szCs w:val="24"/>
        </w:rPr>
        <w:t xml:space="preserve"> першого заступника міського голови  </w:t>
      </w:r>
      <w:r>
        <w:rPr>
          <w:szCs w:val="24"/>
        </w:rPr>
        <w:t>Лукова</w:t>
      </w:r>
      <w:r>
        <w:rPr>
          <w:szCs w:val="24"/>
        </w:rPr>
        <w:t xml:space="preserve"> В.Д.</w:t>
      </w:r>
    </w:p>
    <w:p>
      <w:pPr>
        <w:pStyle w:val="style67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</w:p>
    <w:p>
      <w:pPr>
        <w:pStyle w:val="style67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>
      <w:pPr>
        <w:pStyle w:val="style0"/>
        <w:rPr>
          <w:szCs w:val="28"/>
        </w:rPr>
      </w:pPr>
      <w:r>
        <w:rPr>
          <w:color w:val="000000"/>
          <w:szCs w:val="28"/>
        </w:rPr>
        <w:t>Заступник  м</w:t>
      </w:r>
      <w:r>
        <w:rPr>
          <w:color w:val="000000"/>
          <w:szCs w:val="28"/>
        </w:rPr>
        <w:t>іськ</w:t>
      </w:r>
      <w:r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голов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                                                      </w:t>
      </w:r>
      <w:r>
        <w:rPr>
          <w:color w:val="000000"/>
          <w:szCs w:val="28"/>
        </w:rPr>
        <w:t xml:space="preserve">  Ю.АНДРІЄНКО</w:t>
      </w:r>
    </w:p>
    <w:p>
      <w:pPr>
        <w:pStyle w:val="style0"/>
        <w:rPr/>
        <w:sectPr>
          <w:pgSz w:w="11906" w:h="16838" w:orient="portrait"/>
          <w:pgMar w:top="1134" w:right="567" w:bottom="1134" w:left="1701" w:header="720" w:footer="720" w:gutter="0"/>
          <w:cols w:space="720"/>
          <w:docGrid w:linePitch="360"/>
        </w:sectPr>
      </w:pPr>
    </w:p>
    <w:p>
      <w:pPr>
        <w:pStyle w:val="style0"/>
        <w:rPr/>
        <w:sectPr>
          <w:type w:val="continuous"/>
          <w:pgSz w:w="11906" w:h="16838" w:orient="portrait"/>
          <w:pgMar w:top="1134" w:right="567" w:bottom="1134" w:left="1701" w:header="720" w:footer="720" w:gutter="0"/>
          <w:cols w:space="720"/>
          <w:docGrid w:linePitch="360"/>
        </w:sectPr>
      </w:pPr>
    </w:p>
    <w:p>
      <w:pPr>
        <w:pStyle w:val="style0"/>
        <w:suppressAutoHyphens w:val="false"/>
        <w:ind w:left="6372" w:firstLine="708"/>
        <w:jc w:val="both"/>
        <w:rPr>
          <w:rFonts w:eastAsia="Calibri"/>
          <w:szCs w:val="28"/>
        </w:rPr>
      </w:pPr>
    </w:p>
    <w:p>
      <w:pPr>
        <w:pStyle w:val="style0"/>
        <w:suppressAutoHyphens w:val="false"/>
        <w:spacing w:lineRule="auto" w:line="360"/>
        <w:ind w:left="9356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>ЗАТВЕРДЖЕНО</w:t>
      </w:r>
    </w:p>
    <w:p>
      <w:pPr>
        <w:pStyle w:val="style0"/>
        <w:suppressAutoHyphens w:val="false"/>
        <w:spacing w:lineRule="auto" w:line="360"/>
        <w:ind w:left="9356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рішення виконкому </w:t>
      </w:r>
      <w:r>
        <w:rPr>
          <w:rFonts w:eastAsia="Calibri"/>
          <w:szCs w:val="28"/>
        </w:rPr>
        <w:t xml:space="preserve"> міської ради</w:t>
      </w:r>
    </w:p>
    <w:p>
      <w:pPr>
        <w:pStyle w:val="style0"/>
        <w:suppressAutoHyphens w:val="false"/>
        <w:spacing w:lineRule="auto" w:line="360"/>
        <w:ind w:left="9356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>від______________</w:t>
      </w:r>
      <w:r>
        <w:rPr>
          <w:rFonts w:eastAsia="Calibri"/>
          <w:szCs w:val="28"/>
        </w:rPr>
        <w:t>_______________</w:t>
      </w:r>
    </w:p>
    <w:p>
      <w:pPr>
        <w:pStyle w:val="style0"/>
        <w:suppressAutoHyphens w:val="false"/>
        <w:ind w:left="9356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>№_____________</w:t>
      </w:r>
      <w:r>
        <w:rPr>
          <w:rFonts w:eastAsia="Calibri"/>
          <w:szCs w:val="28"/>
        </w:rPr>
        <w:t>________________</w:t>
      </w:r>
    </w:p>
    <w:p>
      <w:pPr>
        <w:pStyle w:val="style0"/>
        <w:rPr/>
      </w:pPr>
    </w:p>
    <w:p>
      <w:pPr>
        <w:pStyle w:val="style0"/>
        <w:tabs>
          <w:tab w:val="left" w:leader="none" w:pos="11370"/>
        </w:tabs>
        <w:jc w:val="center"/>
        <w:rPr>
          <w:szCs w:val="28"/>
        </w:rPr>
      </w:pPr>
      <w:r>
        <w:t xml:space="preserve">Перелік </w:t>
      </w:r>
      <w:r>
        <w:t>г</w:t>
      </w:r>
      <w:r>
        <w:t>уманітарн</w:t>
      </w:r>
      <w:r>
        <w:t>ої</w:t>
      </w:r>
      <w:r>
        <w:t xml:space="preserve"> допомог</w:t>
      </w:r>
      <w:r>
        <w:t>и,</w:t>
      </w:r>
      <w:r>
        <w:t xml:space="preserve"> </w:t>
      </w:r>
      <w:r>
        <w:rPr>
          <w:color w:val="000000"/>
          <w:szCs w:val="28"/>
        </w:rPr>
        <w:t>отриман</w:t>
      </w:r>
      <w:r>
        <w:rPr>
          <w:color w:val="000000"/>
          <w:szCs w:val="28"/>
        </w:rPr>
        <w:t>ої</w:t>
      </w:r>
      <w:r>
        <w:rPr>
          <w:color w:val="000000"/>
          <w:szCs w:val="28"/>
        </w:rPr>
        <w:t xml:space="preserve"> від г</w:t>
      </w:r>
      <w:r>
        <w:rPr>
          <w:color w:val="000000"/>
          <w:szCs w:val="28"/>
        </w:rPr>
        <w:t>ромадської</w:t>
      </w:r>
      <w:r>
        <w:rPr>
          <w:color w:val="000000"/>
          <w:szCs w:val="28"/>
        </w:rPr>
        <w:t xml:space="preserve"> організації «Агентство ефективних рішень»</w:t>
      </w:r>
      <w:r>
        <w:rPr>
          <w:color w:val="000000"/>
          <w:szCs w:val="28"/>
        </w:rPr>
        <w:t>,</w:t>
      </w:r>
    </w:p>
    <w:p>
      <w:pPr>
        <w:pStyle w:val="style0"/>
        <w:ind w:left="1134"/>
        <w:jc w:val="center"/>
        <w:rPr/>
      </w:pPr>
      <w:r>
        <w:t>для потреб Миколаївської міської територіальної громади</w:t>
      </w:r>
    </w:p>
    <w:p>
      <w:pPr>
        <w:pStyle w:val="style0"/>
        <w:ind w:left="1134"/>
        <w:jc w:val="center"/>
        <w:rPr/>
      </w:pPr>
    </w:p>
    <w:tbl>
      <w:tblPr>
        <w:tblpPr w:leftFromText="180" w:rightFromText="180" w:topFromText="0" w:bottomFromText="0" w:vertAnchor="text" w:horzAnchor="page" w:tblpX="1237" w:tblpY="21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850"/>
        <w:gridCol w:w="993"/>
        <w:gridCol w:w="1416"/>
        <w:gridCol w:w="1417"/>
        <w:gridCol w:w="4396"/>
      </w:tblGrid>
      <w:tr>
        <w:trPr>
          <w:cantSplit/>
          <w:trHeight w:val="1408" w:hRule="atLeast"/>
        </w:trPr>
        <w:tc>
          <w:tcPr>
            <w:tcW w:w="817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</w:t>
            </w:r>
          </w:p>
          <w:p>
            <w:pPr>
              <w:pStyle w:val="style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з/п</w:t>
            </w:r>
          </w:p>
        </w:tc>
        <w:tc>
          <w:tcPr>
            <w:tcW w:w="4678" w:type="dxa"/>
            <w:tcBorders/>
            <w:shd w:val="clear" w:color="auto" w:fill="auto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Найменування</w:t>
            </w:r>
          </w:p>
        </w:tc>
        <w:tc>
          <w:tcPr>
            <w:tcW w:w="850" w:type="dxa"/>
            <w:tcBorders/>
            <w:shd w:val="clear" w:color="auto" w:fill="auto"/>
            <w:textDirection w:val="btLr"/>
            <w:vAlign w:val="center"/>
          </w:tcPr>
          <w:p>
            <w:pPr>
              <w:pStyle w:val="style0"/>
              <w:widowControl w:val="false"/>
              <w:spacing w:lineRule="exact" w:line="220"/>
              <w:ind w:left="113" w:right="113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Одиниця виміру</w:t>
            </w:r>
          </w:p>
        </w:tc>
        <w:tc>
          <w:tcPr>
            <w:tcW w:w="993" w:type="dxa"/>
            <w:tcBorders/>
            <w:shd w:val="clear" w:color="auto" w:fill="auto"/>
            <w:textDirection w:val="btLr"/>
            <w:vAlign w:val="center"/>
          </w:tcPr>
          <w:p>
            <w:pPr>
              <w:pStyle w:val="style0"/>
              <w:widowControl w:val="false"/>
              <w:spacing w:lineRule="exact" w:line="220"/>
              <w:ind w:left="113" w:right="113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Кількість</w:t>
            </w:r>
          </w:p>
        </w:tc>
        <w:tc>
          <w:tcPr>
            <w:tcW w:w="1416" w:type="dxa"/>
            <w:tcBorders/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Ціна, </w:t>
            </w:r>
            <w:r>
              <w:rPr>
                <w:color w:val="000000"/>
                <w:szCs w:val="28"/>
                <w:lang w:eastAsia="ru-RU"/>
              </w:rPr>
              <w:t>грн</w:t>
            </w:r>
          </w:p>
        </w:tc>
        <w:tc>
          <w:tcPr>
            <w:tcW w:w="1417" w:type="dxa"/>
            <w:tcBorders/>
            <w:shd w:val="clear" w:color="auto" w:fill="auto"/>
          </w:tcPr>
          <w:p>
            <w:pPr>
              <w:pStyle w:val="style0"/>
              <w:widowControl w:val="false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Сума, </w:t>
            </w:r>
            <w:r>
              <w:rPr>
                <w:color w:val="000000"/>
                <w:szCs w:val="28"/>
                <w:lang w:eastAsia="ru-RU"/>
              </w:rPr>
              <w:t>грн</w:t>
            </w:r>
          </w:p>
        </w:tc>
        <w:tc>
          <w:tcPr>
            <w:tcW w:w="4396" w:type="dxa"/>
            <w:tcBorders/>
          </w:tcPr>
          <w:p>
            <w:pPr>
              <w:pStyle w:val="style0"/>
              <w:widowControl w:val="false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Набувач</w:t>
            </w:r>
          </w:p>
        </w:tc>
      </w:tr>
      <w:tr>
        <w:tblPrEx/>
        <w:trPr>
          <w:cantSplit/>
          <w:trHeight w:val="494" w:hRule="atLeast"/>
        </w:trPr>
        <w:tc>
          <w:tcPr>
            <w:tcW w:w="817" w:type="dxa"/>
            <w:vMerge w:val="restart"/>
            <w:tcBorders/>
            <w:shd w:val="clear" w:color="auto" w:fill="auto"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szCs w:val="28"/>
                <w:lang w:bidi="uk-UA" w:eastAsia="uk-UA"/>
              </w:rPr>
            </w:pPr>
            <w:r>
              <w:rPr>
                <w:szCs w:val="28"/>
                <w:lang w:bidi="uk-UA" w:eastAsia="uk-UA"/>
              </w:rPr>
              <w:t>Ноутбук HP 255 G8 (3A5Y5EA) 15.6 F/</w:t>
            </w:r>
            <w:r>
              <w:rPr>
                <w:szCs w:val="28"/>
                <w:lang w:bidi="uk-UA" w:eastAsia="uk-UA"/>
              </w:rPr>
              <w:t>Athlon</w:t>
            </w:r>
            <w:r>
              <w:rPr>
                <w:szCs w:val="28"/>
                <w:lang w:bidi="uk-UA" w:eastAsia="uk-UA"/>
              </w:rPr>
              <w:t xml:space="preserve"> 3050U (2/2, 2.3-3.2</w:t>
            </w:r>
          </w:p>
          <w:p>
            <w:pPr>
              <w:pStyle w:val="style0"/>
              <w:widowControl w:val="false"/>
              <w:jc w:val="center"/>
              <w:rPr>
                <w:color w:val="000000"/>
                <w:szCs w:val="28"/>
                <w:lang w:eastAsia="ru-RU"/>
                <w14:textOutline w14:w="9525" w14:cmpd="sng" w14:cap="rnd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zCs w:val="28"/>
                <w:lang w:bidi="uk-UA" w:eastAsia="uk-UA"/>
              </w:rPr>
              <w:t>GHz</w:t>
            </w:r>
            <w:r>
              <w:rPr>
                <w:szCs w:val="28"/>
                <w:lang w:bidi="uk-UA" w:eastAsia="uk-UA"/>
              </w:rPr>
              <w:t>) DDR 4GB/SSD 128GB/</w:t>
            </w:r>
            <w:r>
              <w:rPr>
                <w:szCs w:val="28"/>
                <w:lang w:bidi="uk-UA" w:eastAsia="uk-UA"/>
              </w:rPr>
              <w:t>Win</w:t>
            </w:r>
            <w:r>
              <w:rPr>
                <w:szCs w:val="28"/>
                <w:lang w:bidi="uk-UA" w:eastAsia="uk-UA"/>
              </w:rPr>
              <w:t xml:space="preserve"> 10 </w:t>
            </w:r>
            <w:r>
              <w:rPr>
                <w:szCs w:val="28"/>
                <w:lang w:bidi="uk-UA" w:eastAsia="uk-UA"/>
              </w:rPr>
              <w:t>Pro</w:t>
            </w:r>
            <w:r>
              <w:rPr>
                <w:szCs w:val="28"/>
                <w:lang w:bidi="uk-UA" w:eastAsia="uk-UA"/>
              </w:rPr>
              <w:t>/</w:t>
            </w:r>
            <w:r>
              <w:rPr>
                <w:szCs w:val="28"/>
                <w:lang w:bidi="uk-UA" w:eastAsia="uk-UA"/>
              </w:rPr>
              <w:t>Dark</w:t>
            </w:r>
            <w:r>
              <w:rPr>
                <w:szCs w:val="28"/>
                <w:lang w:bidi="uk-UA" w:eastAsia="uk-UA"/>
              </w:rPr>
              <w:t xml:space="preserve"> </w:t>
            </w:r>
            <w:r>
              <w:rPr>
                <w:szCs w:val="28"/>
                <w:lang w:bidi="uk-UA" w:eastAsia="uk-UA"/>
              </w:rPr>
              <w:t>grey</w:t>
            </w:r>
          </w:p>
        </w:tc>
        <w:tc>
          <w:tcPr>
            <w:tcW w:w="850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416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13938,00</w:t>
            </w:r>
          </w:p>
        </w:tc>
        <w:tc>
          <w:tcPr>
            <w:tcW w:w="1417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390264</w:t>
            </w:r>
            <w:r>
              <w:rPr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4396" w:type="dxa"/>
            <w:tcBorders/>
          </w:tcPr>
          <w:p>
            <w:pPr>
              <w:pStyle w:val="style0"/>
              <w:widowControl w:val="false"/>
              <w:rPr>
                <w:szCs w:val="28"/>
              </w:rPr>
            </w:pPr>
            <w:r>
              <w:rPr>
                <w:szCs w:val="28"/>
              </w:rPr>
              <w:t>Виконавчий комітет Миколаївської міської ради</w:t>
            </w:r>
          </w:p>
        </w:tc>
      </w:tr>
      <w:tr>
        <w:tblPrEx/>
        <w:trPr>
          <w:cantSplit/>
          <w:trHeight w:val="494" w:hRule="atLeast"/>
        </w:trPr>
        <w:tc>
          <w:tcPr>
            <w:tcW w:w="817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678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Cs w:val="28"/>
                <w:lang w:bidi="uk-UA" w:eastAsia="uk-UA"/>
              </w:rPr>
            </w:pPr>
          </w:p>
        </w:tc>
        <w:tc>
          <w:tcPr>
            <w:tcW w:w="850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6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13938,00</w:t>
            </w:r>
          </w:p>
        </w:tc>
        <w:tc>
          <w:tcPr>
            <w:tcW w:w="1417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69690</w:t>
            </w:r>
            <w:r>
              <w:rPr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4396" w:type="dxa"/>
            <w:tcBorders/>
          </w:tcPr>
          <w:p>
            <w:pPr>
              <w:pStyle w:val="style0"/>
              <w:widowControl w:val="false"/>
              <w:rPr>
                <w:szCs w:val="28"/>
              </w:rPr>
            </w:pPr>
            <w:r>
              <w:rPr>
                <w:szCs w:val="28"/>
              </w:rPr>
              <w:t>Департамент житлово-комунального господарства Миколаївської міської ради</w:t>
            </w:r>
          </w:p>
        </w:tc>
      </w:tr>
      <w:tr>
        <w:tblPrEx/>
        <w:trPr>
          <w:cantSplit/>
          <w:trHeight w:val="432" w:hRule="atLeast"/>
        </w:trPr>
        <w:tc>
          <w:tcPr>
            <w:tcW w:w="817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rPr>
                <w:szCs w:val="28"/>
                <w:lang w:eastAsia="ru-RU"/>
              </w:rPr>
            </w:pPr>
          </w:p>
        </w:tc>
        <w:tc>
          <w:tcPr>
            <w:tcW w:w="4678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Cs w:val="28"/>
                <w:lang w:bidi="uk-UA" w:eastAsia="uk-UA"/>
              </w:rPr>
            </w:pPr>
          </w:p>
        </w:tc>
        <w:tc>
          <w:tcPr>
            <w:tcW w:w="850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16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13938,00</w:t>
            </w:r>
          </w:p>
        </w:tc>
        <w:tc>
          <w:tcPr>
            <w:tcW w:w="1417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55752</w:t>
            </w:r>
            <w:r>
              <w:rPr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4396" w:type="dxa"/>
            <w:tcBorders/>
          </w:tcPr>
          <w:p>
            <w:pPr>
              <w:pStyle w:val="style0"/>
              <w:widowControl w:val="false"/>
              <w:rPr>
                <w:szCs w:val="28"/>
              </w:rPr>
            </w:pPr>
            <w:r>
              <w:rPr>
                <w:szCs w:val="28"/>
              </w:rPr>
              <w:t>Управління освіти Миколаївської міської ради</w:t>
            </w:r>
          </w:p>
        </w:tc>
      </w:tr>
      <w:tr>
        <w:tblPrEx/>
        <w:trPr>
          <w:cantSplit/>
          <w:trHeight w:val="432" w:hRule="atLeast"/>
        </w:trPr>
        <w:tc>
          <w:tcPr>
            <w:tcW w:w="817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rPr>
                <w:szCs w:val="28"/>
                <w:lang w:eastAsia="ru-RU"/>
              </w:rPr>
            </w:pPr>
          </w:p>
        </w:tc>
        <w:tc>
          <w:tcPr>
            <w:tcW w:w="4678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Cs w:val="28"/>
                <w:lang w:bidi="uk-UA" w:eastAsia="uk-UA"/>
              </w:rPr>
            </w:pPr>
          </w:p>
        </w:tc>
        <w:tc>
          <w:tcPr>
            <w:tcW w:w="850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13938,00</w:t>
            </w:r>
          </w:p>
        </w:tc>
        <w:tc>
          <w:tcPr>
            <w:tcW w:w="1417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27876</w:t>
            </w:r>
            <w:r>
              <w:rPr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4396" w:type="dxa"/>
            <w:tcBorders/>
          </w:tcPr>
          <w:p>
            <w:pPr>
              <w:pStyle w:val="style0"/>
              <w:widowControl w:val="false"/>
              <w:rPr>
                <w:szCs w:val="28"/>
              </w:rPr>
            </w:pPr>
            <w:r>
              <w:rPr>
                <w:szCs w:val="28"/>
              </w:rPr>
              <w:t>КП ММР «Миколаївські парки»</w:t>
            </w:r>
          </w:p>
        </w:tc>
      </w:tr>
      <w:tr>
        <w:tblPrEx/>
        <w:trPr>
          <w:cantSplit/>
          <w:trHeight w:val="142" w:hRule="atLeast"/>
        </w:trPr>
        <w:tc>
          <w:tcPr>
            <w:tcW w:w="817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rPr>
                <w:szCs w:val="28"/>
                <w:lang w:eastAsia="ru-RU"/>
              </w:rPr>
            </w:pPr>
          </w:p>
        </w:tc>
        <w:tc>
          <w:tcPr>
            <w:tcW w:w="4678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Cs w:val="28"/>
                <w:lang w:bidi="uk-UA" w:eastAsia="uk-UA"/>
              </w:rPr>
            </w:pPr>
          </w:p>
        </w:tc>
        <w:tc>
          <w:tcPr>
            <w:tcW w:w="850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spacing w:lineRule="exact" w:line="22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>13938,00</w:t>
            </w:r>
          </w:p>
        </w:tc>
        <w:tc>
          <w:tcPr>
            <w:tcW w:w="1417" w:type="dxa"/>
            <w:tcBorders/>
            <w:shd w:val="clear" w:color="auto" w:fill="auto"/>
            <w:vAlign w:val="center"/>
          </w:tcPr>
          <w:p>
            <w:pPr>
              <w:pStyle w:val="style0"/>
              <w:widowControl w:val="false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13938</w:t>
            </w:r>
            <w:r>
              <w:rPr>
                <w:color w:val="000000"/>
                <w:szCs w:val="28"/>
                <w:lang w:eastAsia="ru-RU"/>
              </w:rPr>
              <w:t>,00</w:t>
            </w:r>
          </w:p>
        </w:tc>
        <w:tc>
          <w:tcPr>
            <w:tcW w:w="4396" w:type="dxa"/>
            <w:tcBorders/>
          </w:tcPr>
          <w:p>
            <w:pPr>
              <w:pStyle w:val="style0"/>
              <w:widowControl w:val="false"/>
              <w:rPr>
                <w:szCs w:val="28"/>
              </w:rPr>
            </w:pPr>
            <w:r>
              <w:rPr>
                <w:szCs w:val="28"/>
              </w:rPr>
              <w:t>Адміністрація Заводського району Миколаївської міської ради</w:t>
            </w:r>
          </w:p>
        </w:tc>
      </w:tr>
    </w:tbl>
    <w:p>
      <w:pPr>
        <w:pStyle w:val="style0"/>
        <w:rPr>
          <w:sz w:val="24"/>
          <w:szCs w:val="24"/>
        </w:rPr>
      </w:pPr>
    </w:p>
    <w:sectPr>
      <w:pgSz w:w="16838" w:h="11906" w:orient="landscape"/>
      <w:pgMar w:top="567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01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460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0000005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B172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uppressAutoHyphens/>
      <w:spacing w:after="0" w:lineRule="auto" w:line="240"/>
    </w:pPr>
    <w:rPr>
      <w:rFonts w:ascii="Times New Roman" w:cs="Times New Roman" w:eastAsia="Times New Roman" w:hAnsi="Times New Roman"/>
      <w:sz w:val="28"/>
      <w:szCs w:val="20"/>
      <w:lang w:val="uk-UA" w:eastAsia="zh-CN"/>
    </w:rPr>
  </w:style>
  <w:style w:type="paragraph" w:styleId="style1">
    <w:name w:val="heading 1"/>
    <w:basedOn w:val="style0"/>
    <w:next w:val="style0"/>
    <w:link w:val="style4098"/>
    <w:qFormat/>
    <w:pPr>
      <w:keepNext/>
      <w:suppressAutoHyphens w:val="false"/>
      <w:ind w:left="284"/>
      <w:jc w:val="both"/>
      <w:outlineLvl w:val="0"/>
    </w:pPr>
    <w:rPr>
      <w:lang w:eastAsia="ru-RU"/>
    </w:rPr>
  </w:style>
  <w:style w:type="paragraph" w:styleId="style3">
    <w:name w:val="heading 3"/>
    <w:basedOn w:val="style0"/>
    <w:next w:val="style0"/>
    <w:link w:val="style4102"/>
    <w:qFormat/>
    <w:uiPriority w:val="9"/>
    <w:pPr>
      <w:keepNext/>
      <w:keepLines/>
      <w:spacing w:before="40"/>
      <w:outlineLvl w:val="2"/>
    </w:pPr>
    <w:rPr>
      <w:rFonts w:ascii="Cambria" w:cs="宋体" w:eastAsia="宋体" w:hAnsi="Cambria"/>
      <w:color w:val="243f60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7">
    <w:name w:val="Body Text Indent"/>
    <w:basedOn w:val="style0"/>
    <w:next w:val="style67"/>
    <w:link w:val="style4097"/>
    <w:pPr>
      <w:ind w:left="720"/>
    </w:pPr>
    <w:rPr/>
  </w:style>
  <w:style w:type="character" w:customStyle="1" w:styleId="style4097">
    <w:name w:val="Основной текст с отступом Знак"/>
    <w:basedOn w:val="style65"/>
    <w:next w:val="style4097"/>
    <w:link w:val="style67"/>
    <w:rPr>
      <w:rFonts w:ascii="Times New Roman" w:cs="Times New Roman" w:eastAsia="Times New Roman" w:hAnsi="Times New Roman"/>
      <w:sz w:val="28"/>
      <w:szCs w:val="20"/>
      <w:lang w:val="uk-UA" w:eastAsia="zh-CN"/>
    </w:rPr>
  </w:style>
  <w:style w:type="paragraph" w:styleId="style94">
    <w:name w:val="Normal (Web)"/>
    <w:basedOn w:val="style0"/>
    <w:next w:val="style94"/>
    <w:pPr>
      <w:spacing w:before="280" w:after="280"/>
    </w:pPr>
    <w:rPr>
      <w:rFonts w:ascii="Liberation Serif" w:cs="Mangal" w:eastAsia="SimSun" w:hAnsi="Liberation Serif"/>
      <w:kern w:val="2"/>
      <w:sz w:val="24"/>
      <w:szCs w:val="24"/>
      <w:lang w:bidi="hi-IN"/>
    </w:rPr>
  </w:style>
  <w:style w:type="character" w:customStyle="1" w:styleId="style4098">
    <w:name w:val="Заголовок 1 Знак"/>
    <w:basedOn w:val="style65"/>
    <w:next w:val="style4098"/>
    <w:link w:val="style1"/>
    <w:rPr>
      <w:rFonts w:ascii="Times New Roman" w:cs="Times New Roman" w:eastAsia="Times New Roman" w:hAnsi="Times New Roman"/>
      <w:sz w:val="28"/>
      <w:szCs w:val="20"/>
      <w:lang w:val="uk-UA" w:eastAsia="ru-RU"/>
    </w:rPr>
  </w:style>
  <w:style w:type="paragraph" w:styleId="style62">
    <w:name w:val="Title"/>
    <w:basedOn w:val="style0"/>
    <w:next w:val="style62"/>
    <w:link w:val="style4099"/>
    <w:qFormat/>
    <w:pPr>
      <w:suppressAutoHyphens w:val="false"/>
      <w:jc w:val="center"/>
    </w:pPr>
    <w:rPr>
      <w:lang w:eastAsia="ru-RU"/>
    </w:rPr>
  </w:style>
  <w:style w:type="character" w:customStyle="1" w:styleId="style4099">
    <w:name w:val="Название Знак"/>
    <w:basedOn w:val="style65"/>
    <w:next w:val="style4099"/>
    <w:link w:val="style62"/>
    <w:rPr>
      <w:rFonts w:ascii="Times New Roman" w:cs="Times New Roman" w:eastAsia="Times New Roman" w:hAnsi="Times New Roman"/>
      <w:sz w:val="28"/>
      <w:szCs w:val="20"/>
      <w:lang w:val="uk-UA" w:eastAsia="ru-RU"/>
    </w:rPr>
  </w:style>
  <w:style w:type="paragraph" w:styleId="style179">
    <w:name w:val="List Paragraph"/>
    <w:basedOn w:val="style0"/>
    <w:next w:val="style179"/>
    <w:qFormat/>
    <w:uiPriority w:val="1"/>
    <w:pPr>
      <w:ind w:left="720"/>
      <w:contextualSpacing/>
    </w:pPr>
    <w:rPr/>
  </w:style>
  <w:style w:type="character" w:customStyle="1" w:styleId="style4100">
    <w:name w:val="Другое_"/>
    <w:basedOn w:val="style65"/>
    <w:next w:val="style4100"/>
    <w:link w:val="style4101"/>
    <w:rPr>
      <w:rFonts w:ascii="Times New Roman" w:cs="Times New Roman" w:eastAsia="Times New Roman" w:hAnsi="Times New Roman"/>
      <w:shd w:val="clear" w:color="auto" w:fill="ffffff"/>
    </w:rPr>
  </w:style>
  <w:style w:type="paragraph" w:customStyle="1" w:styleId="style4101">
    <w:name w:val="Другое"/>
    <w:basedOn w:val="style0"/>
    <w:next w:val="style4101"/>
    <w:link w:val="style4100"/>
    <w:pPr>
      <w:widowControl w:val="false"/>
      <w:shd w:val="clear" w:color="auto" w:fill="ffffff"/>
      <w:suppressAutoHyphens w:val="false"/>
      <w:spacing w:after="260"/>
    </w:pPr>
    <w:rPr>
      <w:sz w:val="22"/>
      <w:szCs w:val="22"/>
      <w:lang w:val="ru-RU" w:eastAsia="en-US"/>
    </w:rPr>
  </w:style>
  <w:style w:type="character" w:customStyle="1" w:styleId="style4102">
    <w:name w:val="Заголовок 3 Знак"/>
    <w:basedOn w:val="style65"/>
    <w:next w:val="style4102"/>
    <w:link w:val="style3"/>
    <w:uiPriority w:val="9"/>
    <w:rPr>
      <w:rFonts w:ascii="Cambria" w:cs="宋体" w:eastAsia="宋体" w:hAnsi="Cambria"/>
      <w:color w:val="243f60"/>
      <w:sz w:val="24"/>
      <w:szCs w:val="24"/>
      <w:lang w:val="uk-UA" w:eastAsia="zh-CN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03">
    <w:name w:val="Інше_"/>
    <w:basedOn w:val="style65"/>
    <w:next w:val="style4103"/>
    <w:link w:val="style4104"/>
    <w:rPr>
      <w:rFonts w:ascii="Arial" w:cs="Arial" w:eastAsia="Arial" w:hAnsi="Arial"/>
      <w:sz w:val="15"/>
      <w:szCs w:val="15"/>
      <w:shd w:val="clear" w:color="auto" w:fill="ffffff"/>
    </w:rPr>
  </w:style>
  <w:style w:type="paragraph" w:customStyle="1" w:styleId="style4104">
    <w:name w:val="Інше"/>
    <w:basedOn w:val="style0"/>
    <w:next w:val="style4104"/>
    <w:link w:val="style4103"/>
    <w:pPr>
      <w:widowControl w:val="false"/>
      <w:shd w:val="clear" w:color="auto" w:fill="ffffff"/>
      <w:suppressAutoHyphens w:val="false"/>
      <w:spacing w:lineRule="auto" w:line="300"/>
    </w:pPr>
    <w:rPr>
      <w:rFonts w:ascii="Arial" w:cs="Arial" w:eastAsia="Arial" w:hAnsi="Arial"/>
      <w:sz w:val="15"/>
      <w:szCs w:val="15"/>
      <w:lang w:val="ru-RU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E3FE-CAEC-4150-843A-690E2B8D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286</Words>
  <Pages>2</Pages>
  <Characters>2250</Characters>
  <Application>WPS Office</Application>
  <DocSecurity>0</DocSecurity>
  <Paragraphs>82</Paragraphs>
  <ScaleCrop>false</ScaleCrop>
  <Company>1</Company>
  <LinksUpToDate>false</LinksUpToDate>
  <CharactersWithSpaces>2558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2022-12-28T12:04:00Z</dcterms:created>
  <dc:creator>affec</dc:creator>
  <lastModifiedBy>M2006C3LG</lastModifiedBy>
  <lastPrinted>2022-08-21T15:24:00Z</lastPrinted>
  <dcterms:modified xsi:type="dcterms:W3CDTF">2022-12-28T12:41:13Z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9ae9cd69b7ce4b9681a0bcb45faf22c8</vt:lpwstr>
  </property>
</Properties>
</file>