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6192" w14:textId="40D61ED4" w:rsidR="000354EC" w:rsidRPr="00521A5F" w:rsidRDefault="000354EC" w:rsidP="00D903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354EC">
        <w:rPr>
          <w:rFonts w:ascii="Times New Roman" w:hAnsi="Times New Roman" w:cs="Times New Roman"/>
          <w:sz w:val="20"/>
          <w:szCs w:val="20"/>
        </w:rPr>
        <w:t>v-dj-0</w:t>
      </w:r>
      <w:r w:rsidR="00521A5F">
        <w:rPr>
          <w:rFonts w:ascii="Times New Roman" w:hAnsi="Times New Roman" w:cs="Times New Roman"/>
          <w:sz w:val="20"/>
          <w:szCs w:val="20"/>
        </w:rPr>
        <w:t>99</w:t>
      </w:r>
      <w:proofErr w:type="spellStart"/>
      <w:r w:rsidRPr="000354EC">
        <w:rPr>
          <w:rFonts w:ascii="Times New Roman" w:hAnsi="Times New Roman" w:cs="Times New Roman"/>
          <w:sz w:val="20"/>
          <w:szCs w:val="20"/>
          <w:lang w:val="en-US"/>
        </w:rPr>
        <w:t>gk</w:t>
      </w:r>
      <w:proofErr w:type="spellEnd"/>
    </w:p>
    <w:p w14:paraId="74514FAD" w14:textId="77777777" w:rsidR="000354EC" w:rsidRPr="000354EC" w:rsidRDefault="000354EC" w:rsidP="00D90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6A8D2A" w14:textId="77777777" w:rsidR="000354EC" w:rsidRPr="000354EC" w:rsidRDefault="000354EC" w:rsidP="00D90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B68510" w14:textId="2AA366BD" w:rsidR="000354EC" w:rsidRDefault="000354EC" w:rsidP="00D90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A9236C" w14:textId="48C0BA01" w:rsidR="00C01E8E" w:rsidRDefault="00C01E8E" w:rsidP="00D90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AC950D" w14:textId="0BDEE1A7" w:rsidR="00C01E8E" w:rsidRDefault="00C01E8E" w:rsidP="00D90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83738D" w14:textId="4DF49E52" w:rsidR="00C01E8E" w:rsidRDefault="00C01E8E" w:rsidP="00D90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6A8F2D" w14:textId="5F03790D" w:rsidR="00C01E8E" w:rsidRDefault="00C01E8E" w:rsidP="00D90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47E169" w14:textId="179F2C06" w:rsidR="00C01E8E" w:rsidRDefault="00C01E8E" w:rsidP="00D90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68A278" w14:textId="77777777" w:rsidR="00C01E8E" w:rsidRPr="000354EC" w:rsidRDefault="00C01E8E" w:rsidP="00D90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CFD115" w14:textId="77777777" w:rsidR="00C01E8E" w:rsidRPr="00E82C50" w:rsidRDefault="00C01E8E" w:rsidP="00D90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2DDA86" w14:textId="5E92A9A8" w:rsidR="000354EC" w:rsidRPr="000354EC" w:rsidRDefault="000354EC" w:rsidP="00521A5F">
      <w:pPr>
        <w:shd w:val="clear" w:color="auto" w:fill="FFFFFF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0354EC">
        <w:rPr>
          <w:rFonts w:ascii="Times New Roman" w:hAnsi="Times New Roman" w:cs="Times New Roman"/>
          <w:sz w:val="28"/>
          <w:szCs w:val="28"/>
        </w:rPr>
        <w:t xml:space="preserve">Про попередній розгляд </w:t>
      </w:r>
      <w:proofErr w:type="spellStart"/>
      <w:r w:rsidRPr="000354EC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354EC">
        <w:rPr>
          <w:rFonts w:ascii="Times New Roman" w:hAnsi="Times New Roman" w:cs="Times New Roman"/>
          <w:sz w:val="28"/>
          <w:szCs w:val="28"/>
        </w:rPr>
        <w:t xml:space="preserve"> рішення міської ради «</w:t>
      </w:r>
      <w:r w:rsidR="00521A5F" w:rsidRPr="00521A5F">
        <w:rPr>
          <w:rFonts w:ascii="Times New Roman" w:hAnsi="Times New Roman" w:cs="Times New Roman"/>
          <w:sz w:val="28"/>
          <w:szCs w:val="28"/>
        </w:rPr>
        <w:t>Про затвердження Програми «Доступна вода» на 2024 рік</w:t>
      </w:r>
      <w:r w:rsidRPr="000354EC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5724ED6B" w14:textId="607E86C6" w:rsidR="000354EC" w:rsidRDefault="000354EC" w:rsidP="00D9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054885" w14:textId="77777777" w:rsidR="00C01E8E" w:rsidRPr="000354EC" w:rsidRDefault="00C01E8E" w:rsidP="00D9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B4F831" w14:textId="72CB2D7F" w:rsidR="000354EC" w:rsidRPr="000354EC" w:rsidRDefault="000354EC" w:rsidP="00C01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4EC">
        <w:rPr>
          <w:rFonts w:ascii="Times New Roman" w:hAnsi="Times New Roman" w:cs="Times New Roman"/>
          <w:sz w:val="28"/>
          <w:szCs w:val="28"/>
        </w:rPr>
        <w:t xml:space="preserve">Розглянувши </w:t>
      </w:r>
      <w:proofErr w:type="spellStart"/>
      <w:r w:rsidRPr="000354EC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0354EC">
        <w:rPr>
          <w:rFonts w:ascii="Times New Roman" w:hAnsi="Times New Roman" w:cs="Times New Roman"/>
          <w:sz w:val="28"/>
          <w:szCs w:val="28"/>
        </w:rPr>
        <w:t xml:space="preserve"> рішення міської ради «</w:t>
      </w:r>
      <w:r w:rsidR="00521A5F" w:rsidRPr="00521A5F">
        <w:rPr>
          <w:rFonts w:ascii="Times New Roman" w:hAnsi="Times New Roman" w:cs="Times New Roman"/>
          <w:sz w:val="28"/>
          <w:szCs w:val="28"/>
        </w:rPr>
        <w:t>Про затвердження Програми «Доступна вода» на 2024 рік</w:t>
      </w:r>
      <w:r w:rsidRPr="000354EC">
        <w:rPr>
          <w:rFonts w:ascii="Times New Roman" w:hAnsi="Times New Roman" w:cs="Times New Roman"/>
          <w:sz w:val="28"/>
          <w:szCs w:val="28"/>
        </w:rPr>
        <w:t xml:space="preserve">», керуючись </w:t>
      </w:r>
      <w:proofErr w:type="spellStart"/>
      <w:r w:rsidRPr="000354E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354EC">
        <w:rPr>
          <w:rFonts w:ascii="Times New Roman" w:hAnsi="Times New Roman" w:cs="Times New Roman"/>
          <w:sz w:val="28"/>
          <w:szCs w:val="28"/>
        </w:rPr>
        <w:t>. 1 п. «а» ст. 27, ст. 40, п. 1 ч. 2 ст. 52, ч. 6 ст. 59 Закону України «Про місцеве самоврядування в Україні», виконком міської ради</w:t>
      </w:r>
    </w:p>
    <w:p w14:paraId="3FA23855" w14:textId="77777777" w:rsidR="000354EC" w:rsidRPr="000354EC" w:rsidRDefault="000354EC" w:rsidP="00C01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57E820" w14:textId="77777777" w:rsidR="000354EC" w:rsidRPr="000354EC" w:rsidRDefault="000354EC" w:rsidP="00C01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4EC">
        <w:rPr>
          <w:rFonts w:ascii="Times New Roman" w:hAnsi="Times New Roman" w:cs="Times New Roman"/>
          <w:sz w:val="28"/>
          <w:szCs w:val="28"/>
        </w:rPr>
        <w:t>ВИРІШИВ:</w:t>
      </w:r>
    </w:p>
    <w:p w14:paraId="4070E5E6" w14:textId="77777777" w:rsidR="000354EC" w:rsidRPr="000354EC" w:rsidRDefault="000354EC" w:rsidP="00C01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306CF7" w14:textId="366C5826" w:rsidR="000354EC" w:rsidRPr="000354EC" w:rsidRDefault="000354EC" w:rsidP="00C01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4EC">
        <w:rPr>
          <w:rFonts w:ascii="Times New Roman" w:hAnsi="Times New Roman" w:cs="Times New Roman"/>
          <w:sz w:val="28"/>
          <w:szCs w:val="28"/>
        </w:rPr>
        <w:t xml:space="preserve">1. Винести на розгляд міської ради </w:t>
      </w:r>
      <w:proofErr w:type="spellStart"/>
      <w:r w:rsidRPr="000354EC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0354EC">
        <w:rPr>
          <w:rFonts w:ascii="Times New Roman" w:hAnsi="Times New Roman" w:cs="Times New Roman"/>
          <w:sz w:val="28"/>
          <w:szCs w:val="28"/>
        </w:rPr>
        <w:t xml:space="preserve"> рішення «</w:t>
      </w:r>
      <w:r w:rsidR="00521A5F" w:rsidRPr="00521A5F">
        <w:rPr>
          <w:rFonts w:ascii="Times New Roman" w:hAnsi="Times New Roman" w:cs="Times New Roman"/>
          <w:sz w:val="28"/>
          <w:szCs w:val="28"/>
        </w:rPr>
        <w:t>Про затвердження Програми «Доступна вода» на 2024 рік</w:t>
      </w:r>
      <w:r w:rsidRPr="000354EC">
        <w:rPr>
          <w:rFonts w:ascii="Times New Roman" w:hAnsi="Times New Roman" w:cs="Times New Roman"/>
          <w:sz w:val="28"/>
          <w:szCs w:val="28"/>
        </w:rPr>
        <w:t>».</w:t>
      </w:r>
    </w:p>
    <w:p w14:paraId="4AD1135A" w14:textId="77777777" w:rsidR="000354EC" w:rsidRPr="000354EC" w:rsidRDefault="000354EC" w:rsidP="00C01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FC1595" w14:textId="4CD6CF56" w:rsidR="000354EC" w:rsidRPr="000354EC" w:rsidRDefault="000354EC" w:rsidP="00C01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4EC">
        <w:rPr>
          <w:rFonts w:ascii="Times New Roman" w:hAnsi="Times New Roman" w:cs="Times New Roman"/>
          <w:sz w:val="28"/>
          <w:szCs w:val="28"/>
        </w:rPr>
        <w:t>2. Контроль за виконанням даного рішення покласти на заступника міського голови Андрієнка Ю.Г.</w:t>
      </w:r>
    </w:p>
    <w:p w14:paraId="5B6E1944" w14:textId="1B9676DD" w:rsidR="000354EC" w:rsidRDefault="000354EC" w:rsidP="00D9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5ABE5E" w14:textId="1246244C" w:rsidR="00C01E8E" w:rsidRDefault="00C01E8E" w:rsidP="00D9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EB2CBC" w14:textId="77777777" w:rsidR="00C01E8E" w:rsidRPr="000354EC" w:rsidRDefault="00C01E8E" w:rsidP="00D9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7A5219" w14:textId="3F42A262" w:rsidR="000354EC" w:rsidRDefault="000354EC" w:rsidP="00D9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354EC">
        <w:rPr>
          <w:rFonts w:ascii="Times New Roman" w:hAnsi="Times New Roman" w:cs="Times New Roman"/>
          <w:sz w:val="28"/>
          <w:szCs w:val="28"/>
        </w:rPr>
        <w:t>іськ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354EC"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54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C01E8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54EC">
        <w:rPr>
          <w:rFonts w:ascii="Times New Roman" w:hAnsi="Times New Roman" w:cs="Times New Roman"/>
          <w:sz w:val="28"/>
          <w:szCs w:val="28"/>
        </w:rPr>
        <w:t>.</w:t>
      </w:r>
      <w:r w:rsidR="00C01E8E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СЄНКЕВИЧ</w:t>
      </w:r>
    </w:p>
    <w:p w14:paraId="7FBE55B2" w14:textId="77777777" w:rsidR="00CD27AC" w:rsidRPr="00254174" w:rsidRDefault="00C01E8E" w:rsidP="00CD27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D27AC" w:rsidRPr="00254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s-dj-071</w:t>
      </w:r>
      <w:proofErr w:type="spellStart"/>
      <w:r w:rsidR="00CD27AC" w:rsidRPr="0025417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gk</w:t>
      </w:r>
      <w:proofErr w:type="spellEnd"/>
    </w:p>
    <w:p w14:paraId="43EA8793" w14:textId="77777777" w:rsidR="00CD27AC" w:rsidRPr="00254174" w:rsidRDefault="00CD27AC" w:rsidP="00CD27AC">
      <w:pPr>
        <w:tabs>
          <w:tab w:val="left" w:pos="2655"/>
          <w:tab w:val="left" w:pos="313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</w:pPr>
    </w:p>
    <w:p w14:paraId="175FDA43" w14:textId="77777777" w:rsidR="00CD27AC" w:rsidRPr="00254174" w:rsidRDefault="00CD27AC" w:rsidP="00CD27AC">
      <w:pPr>
        <w:tabs>
          <w:tab w:val="left" w:pos="2655"/>
          <w:tab w:val="left" w:pos="313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</w:pPr>
    </w:p>
    <w:p w14:paraId="5344F73C" w14:textId="77777777" w:rsidR="00CD27AC" w:rsidRPr="00254174" w:rsidRDefault="00CD27AC" w:rsidP="00CD27AC">
      <w:pPr>
        <w:tabs>
          <w:tab w:val="left" w:pos="2655"/>
          <w:tab w:val="left" w:pos="313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</w:pPr>
    </w:p>
    <w:p w14:paraId="17CD89CC" w14:textId="77777777" w:rsidR="00CD27AC" w:rsidRPr="00254174" w:rsidRDefault="00CD27AC" w:rsidP="00CD27AC">
      <w:pPr>
        <w:tabs>
          <w:tab w:val="left" w:pos="2655"/>
          <w:tab w:val="left" w:pos="313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</w:pPr>
    </w:p>
    <w:p w14:paraId="432C1826" w14:textId="77777777" w:rsidR="00CD27AC" w:rsidRPr="00254174" w:rsidRDefault="00CD27AC" w:rsidP="00CD27AC">
      <w:pPr>
        <w:tabs>
          <w:tab w:val="left" w:pos="2655"/>
          <w:tab w:val="left" w:pos="313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</w:pPr>
    </w:p>
    <w:p w14:paraId="0DA736C2" w14:textId="77777777" w:rsidR="00CD27AC" w:rsidRPr="00254174" w:rsidRDefault="00CD27AC" w:rsidP="00CD27AC">
      <w:pPr>
        <w:tabs>
          <w:tab w:val="left" w:pos="2655"/>
          <w:tab w:val="left" w:pos="313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</w:pPr>
    </w:p>
    <w:p w14:paraId="62EC78DB" w14:textId="77777777" w:rsidR="00CD27AC" w:rsidRPr="00254174" w:rsidRDefault="00CD27AC" w:rsidP="00CD27AC">
      <w:pPr>
        <w:tabs>
          <w:tab w:val="left" w:pos="2655"/>
          <w:tab w:val="left" w:pos="313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</w:pPr>
    </w:p>
    <w:p w14:paraId="24E5553C" w14:textId="77777777" w:rsidR="00CD27AC" w:rsidRPr="00254174" w:rsidRDefault="00CD27AC" w:rsidP="00CD27AC">
      <w:pPr>
        <w:tabs>
          <w:tab w:val="left" w:pos="2655"/>
          <w:tab w:val="left" w:pos="313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</w:pPr>
    </w:p>
    <w:p w14:paraId="0D0392F3" w14:textId="77777777" w:rsidR="00CD27AC" w:rsidRPr="00254174" w:rsidRDefault="00CD27AC" w:rsidP="00CD27AC">
      <w:pPr>
        <w:tabs>
          <w:tab w:val="left" w:pos="2655"/>
          <w:tab w:val="left" w:pos="313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</w:pPr>
    </w:p>
    <w:p w14:paraId="5D2937F0" w14:textId="77777777" w:rsidR="00CD27AC" w:rsidRPr="00254174" w:rsidRDefault="00CD27AC" w:rsidP="00CD27AC">
      <w:pPr>
        <w:tabs>
          <w:tab w:val="left" w:pos="2655"/>
          <w:tab w:val="left" w:pos="313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</w:pPr>
    </w:p>
    <w:p w14:paraId="1153CCDB" w14:textId="77777777" w:rsidR="00CD27AC" w:rsidRPr="00254174" w:rsidRDefault="00CD27AC" w:rsidP="00CD27AC">
      <w:pPr>
        <w:tabs>
          <w:tab w:val="left" w:pos="2655"/>
          <w:tab w:val="left" w:pos="3135"/>
        </w:tabs>
        <w:spacing w:after="0" w:line="240" w:lineRule="auto"/>
        <w:ind w:right="609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t>Про затвердження Програми «Доступна вода» на 2024 рік</w:t>
      </w:r>
    </w:p>
    <w:p w14:paraId="56E698CB" w14:textId="77777777" w:rsidR="00CD27AC" w:rsidRPr="00254174" w:rsidRDefault="00CD27AC" w:rsidP="00CD2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80762A" w14:textId="77777777" w:rsidR="00CD27AC" w:rsidRPr="00254174" w:rsidRDefault="00CD27AC" w:rsidP="00CD2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4221F8" w14:textId="0D445E86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t>З метою забезпечення мешканців Миколаївської міської територіальної громади</w:t>
      </w:r>
      <w:r w:rsidR="000910DB">
        <w:rPr>
          <w:rFonts w:ascii="Times New Roman" w:hAnsi="Times New Roman" w:cs="Times New Roman"/>
          <w:sz w:val="28"/>
          <w:szCs w:val="28"/>
        </w:rPr>
        <w:t xml:space="preserve"> </w:t>
      </w:r>
      <w:r w:rsidR="000910DB" w:rsidRPr="000910DB">
        <w:rPr>
          <w:rFonts w:ascii="Times New Roman" w:hAnsi="Times New Roman" w:cs="Times New Roman"/>
          <w:sz w:val="28"/>
          <w:szCs w:val="28"/>
        </w:rPr>
        <w:t>базови</w:t>
      </w:r>
      <w:r w:rsidR="000910DB">
        <w:rPr>
          <w:rFonts w:ascii="Times New Roman" w:hAnsi="Times New Roman" w:cs="Times New Roman"/>
          <w:sz w:val="28"/>
          <w:szCs w:val="28"/>
        </w:rPr>
        <w:t>ми</w:t>
      </w:r>
      <w:r w:rsidR="000910DB" w:rsidRPr="000910DB">
        <w:rPr>
          <w:rFonts w:ascii="Times New Roman" w:hAnsi="Times New Roman" w:cs="Times New Roman"/>
          <w:sz w:val="28"/>
          <w:szCs w:val="28"/>
        </w:rPr>
        <w:t xml:space="preserve"> потреб</w:t>
      </w:r>
      <w:r w:rsidR="000910DB">
        <w:rPr>
          <w:rFonts w:ascii="Times New Roman" w:hAnsi="Times New Roman" w:cs="Times New Roman"/>
          <w:sz w:val="28"/>
          <w:szCs w:val="28"/>
        </w:rPr>
        <w:t>ами,</w:t>
      </w:r>
      <w:r w:rsidRPr="00254174">
        <w:rPr>
          <w:rFonts w:ascii="Times New Roman" w:hAnsi="Times New Roman" w:cs="Times New Roman"/>
          <w:sz w:val="28"/>
          <w:szCs w:val="28"/>
        </w:rPr>
        <w:t xml:space="preserve"> безперебійної подачі централізованого водопостачання та водовідведення, беручи до уваги значні пошкодження мереж водопостачання та водовідведення, що утворилися внаслідок надзвичайної ситуації воєнного характеру, керуючись п. 22 ч. 1 ст. 26, ст. 59 Закону України «Про місцеве самоврядування в Україні», міська рада</w:t>
      </w:r>
    </w:p>
    <w:p w14:paraId="721DF278" w14:textId="77777777" w:rsidR="00CD27AC" w:rsidRPr="00254174" w:rsidRDefault="00CD27AC" w:rsidP="00CD2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EBDB76" w14:textId="77777777" w:rsidR="00CD27AC" w:rsidRPr="00254174" w:rsidRDefault="00CD27AC" w:rsidP="00CD2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t>ВИРІШИЛА:</w:t>
      </w:r>
    </w:p>
    <w:p w14:paraId="504EE6B4" w14:textId="77777777" w:rsidR="00CD27AC" w:rsidRPr="00254174" w:rsidRDefault="00CD27AC" w:rsidP="00CD2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F56101" w14:textId="6363C77B" w:rsidR="00CD27AC" w:rsidRPr="00254174" w:rsidRDefault="00E82C50" w:rsidP="00E82C5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D27AC" w:rsidRPr="00254174">
        <w:rPr>
          <w:rFonts w:ascii="Times New Roman" w:hAnsi="Times New Roman" w:cs="Times New Roman"/>
          <w:sz w:val="28"/>
          <w:szCs w:val="28"/>
        </w:rPr>
        <w:t>Затвердити Програму «Доступна вода» на 2024 рік (додається).</w:t>
      </w:r>
    </w:p>
    <w:p w14:paraId="49975D7F" w14:textId="0A0F5641" w:rsidR="00CD27AC" w:rsidRPr="00254174" w:rsidRDefault="00CD27AC" w:rsidP="00CD27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t>1.2.</w:t>
      </w:r>
      <w:r w:rsidR="00E82C50">
        <w:rPr>
          <w:rFonts w:ascii="Times New Roman" w:hAnsi="Times New Roman" w:cs="Times New Roman"/>
          <w:sz w:val="28"/>
          <w:szCs w:val="28"/>
        </w:rPr>
        <w:t> </w:t>
      </w:r>
      <w:r w:rsidRPr="00254174">
        <w:rPr>
          <w:rFonts w:ascii="Times New Roman" w:hAnsi="Times New Roman" w:cs="Times New Roman"/>
          <w:sz w:val="28"/>
          <w:szCs w:val="28"/>
        </w:rPr>
        <w:t>Рішення міської ради від 29.06.2023 № 21/14 «Про затвердження Правил обслуговування та утримання систем очищення води зворотного осмосу, реалізації її видачі» (зі змінами та доповненнями) визнати таким, що втратило чинність</w:t>
      </w:r>
      <w:r w:rsidR="000910DB">
        <w:rPr>
          <w:rFonts w:ascii="Times New Roman" w:hAnsi="Times New Roman" w:cs="Times New Roman"/>
          <w:sz w:val="28"/>
          <w:szCs w:val="28"/>
        </w:rPr>
        <w:t>,</w:t>
      </w:r>
      <w:r w:rsidRPr="00254174">
        <w:rPr>
          <w:rFonts w:ascii="Times New Roman" w:hAnsi="Times New Roman" w:cs="Times New Roman"/>
          <w:sz w:val="28"/>
          <w:szCs w:val="28"/>
        </w:rPr>
        <w:t xml:space="preserve"> з 01.01.2024.</w:t>
      </w:r>
    </w:p>
    <w:p w14:paraId="4EEAADF9" w14:textId="77777777" w:rsidR="00CD27AC" w:rsidRPr="00254174" w:rsidRDefault="00CD27AC" w:rsidP="00CD27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t>2. Контроль за виконанням даного рішення покласти на постійні комісії міської ради: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діджиталізації (Іванова), заступника міського голови Андрієнка Ю.Г.</w:t>
      </w:r>
    </w:p>
    <w:p w14:paraId="1C210552" w14:textId="77777777" w:rsidR="00CD27AC" w:rsidRPr="00254174" w:rsidRDefault="00CD27AC" w:rsidP="00CD2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D5E8CA" w14:textId="77777777" w:rsidR="00CD27AC" w:rsidRPr="00254174" w:rsidRDefault="00CD27AC" w:rsidP="00CD2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506A98" w14:textId="77777777" w:rsidR="00CD27AC" w:rsidRPr="00254174" w:rsidRDefault="00CD27AC" w:rsidP="00CD2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16218F" w14:textId="11C454CF" w:rsidR="00CD27AC" w:rsidRPr="00254174" w:rsidRDefault="00CD27AC" w:rsidP="00CD2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254174">
        <w:rPr>
          <w:rFonts w:ascii="Times New Roman" w:hAnsi="Times New Roman" w:cs="Times New Roman"/>
          <w:sz w:val="28"/>
          <w:szCs w:val="28"/>
        </w:rPr>
        <w:tab/>
      </w:r>
      <w:r w:rsidRPr="00254174">
        <w:rPr>
          <w:rFonts w:ascii="Times New Roman" w:hAnsi="Times New Roman" w:cs="Times New Roman"/>
          <w:sz w:val="28"/>
          <w:szCs w:val="28"/>
        </w:rPr>
        <w:tab/>
      </w:r>
      <w:r w:rsidRPr="00254174">
        <w:rPr>
          <w:rFonts w:ascii="Times New Roman" w:hAnsi="Times New Roman" w:cs="Times New Roman"/>
          <w:sz w:val="28"/>
          <w:szCs w:val="28"/>
        </w:rPr>
        <w:tab/>
      </w:r>
      <w:r w:rsidRPr="00254174">
        <w:rPr>
          <w:rFonts w:ascii="Times New Roman" w:hAnsi="Times New Roman" w:cs="Times New Roman"/>
          <w:sz w:val="28"/>
          <w:szCs w:val="28"/>
        </w:rPr>
        <w:tab/>
      </w:r>
      <w:r w:rsidRPr="00254174">
        <w:rPr>
          <w:rFonts w:ascii="Times New Roman" w:hAnsi="Times New Roman" w:cs="Times New Roman"/>
          <w:sz w:val="28"/>
          <w:szCs w:val="28"/>
        </w:rPr>
        <w:tab/>
      </w:r>
      <w:r w:rsidRPr="00254174">
        <w:rPr>
          <w:rFonts w:ascii="Times New Roman" w:hAnsi="Times New Roman" w:cs="Times New Roman"/>
          <w:sz w:val="28"/>
          <w:szCs w:val="28"/>
        </w:rPr>
        <w:tab/>
      </w:r>
      <w:r w:rsidRPr="00254174">
        <w:rPr>
          <w:rFonts w:ascii="Times New Roman" w:hAnsi="Times New Roman" w:cs="Times New Roman"/>
          <w:sz w:val="28"/>
          <w:szCs w:val="28"/>
        </w:rPr>
        <w:tab/>
      </w:r>
      <w:r w:rsidR="00E82C5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54174">
        <w:rPr>
          <w:rFonts w:ascii="Times New Roman" w:hAnsi="Times New Roman" w:cs="Times New Roman"/>
          <w:sz w:val="28"/>
          <w:szCs w:val="28"/>
        </w:rPr>
        <w:t>О. СЄНКЕВИЧ</w:t>
      </w:r>
    </w:p>
    <w:p w14:paraId="42124AB5" w14:textId="77777777" w:rsidR="00CD27AC" w:rsidRPr="00254174" w:rsidRDefault="00CD27AC" w:rsidP="00CD27AC">
      <w:pPr>
        <w:spacing w:after="0" w:line="240" w:lineRule="auto"/>
        <w:jc w:val="both"/>
      </w:pPr>
      <w:r w:rsidRPr="00254174">
        <w:rPr>
          <w:rFonts w:ascii="Times New Roman" w:hAnsi="Times New Roman" w:cs="Times New Roman"/>
          <w:sz w:val="28"/>
          <w:szCs w:val="28"/>
        </w:rPr>
        <w:br w:type="page"/>
      </w:r>
    </w:p>
    <w:p w14:paraId="52C8E0D6" w14:textId="77777777" w:rsidR="00CD27AC" w:rsidRPr="00254174" w:rsidRDefault="00CD27AC" w:rsidP="00CD27AC">
      <w:pPr>
        <w:tabs>
          <w:tab w:val="left" w:pos="4860"/>
          <w:tab w:val="left" w:pos="6946"/>
        </w:tabs>
        <w:spacing w:after="0" w:line="36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1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ЗАТВЕРДЖЕНО</w:t>
      </w:r>
    </w:p>
    <w:p w14:paraId="7F665ED6" w14:textId="77777777" w:rsidR="00CD27AC" w:rsidRPr="00254174" w:rsidRDefault="00CD27AC" w:rsidP="00CD27AC">
      <w:pPr>
        <w:tabs>
          <w:tab w:val="left" w:pos="4860"/>
          <w:tab w:val="left" w:pos="6946"/>
        </w:tabs>
        <w:spacing w:after="0" w:line="36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рішення міської ради </w:t>
      </w:r>
    </w:p>
    <w:p w14:paraId="15512391" w14:textId="77777777" w:rsidR="00CD27AC" w:rsidRPr="00254174" w:rsidRDefault="00CD27AC" w:rsidP="00CD27AC">
      <w:pPr>
        <w:tabs>
          <w:tab w:val="left" w:pos="4860"/>
          <w:tab w:val="left" w:pos="6946"/>
        </w:tabs>
        <w:spacing w:after="0" w:line="36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174">
        <w:rPr>
          <w:rFonts w:ascii="Times New Roman" w:hAnsi="Times New Roman" w:cs="Times New Roman"/>
          <w:color w:val="000000" w:themeColor="text1"/>
          <w:sz w:val="28"/>
          <w:szCs w:val="28"/>
        </w:rPr>
        <w:t>від_________________________</w:t>
      </w:r>
    </w:p>
    <w:p w14:paraId="64CE33D6" w14:textId="77777777" w:rsidR="00CD27AC" w:rsidRPr="00254174" w:rsidRDefault="00CD27AC" w:rsidP="00CD27AC">
      <w:pPr>
        <w:tabs>
          <w:tab w:val="left" w:pos="4860"/>
          <w:tab w:val="left" w:pos="6946"/>
        </w:tabs>
        <w:spacing w:after="0" w:line="36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174">
        <w:rPr>
          <w:rFonts w:ascii="Times New Roman" w:hAnsi="Times New Roman" w:cs="Times New Roman"/>
          <w:color w:val="000000" w:themeColor="text1"/>
          <w:sz w:val="28"/>
          <w:szCs w:val="28"/>
        </w:rPr>
        <w:t>№ _________________________</w:t>
      </w:r>
    </w:p>
    <w:p w14:paraId="55A7817E" w14:textId="77777777" w:rsidR="00CD27AC" w:rsidRPr="00254174" w:rsidRDefault="00CD27AC" w:rsidP="00CD27A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1F9611" w14:textId="77777777" w:rsidR="00CD27AC" w:rsidRPr="00254174" w:rsidRDefault="00CD27AC" w:rsidP="00CD27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14:paraId="54CCD51A" w14:textId="77777777" w:rsidR="00CD27AC" w:rsidRPr="00254174" w:rsidRDefault="00CD27AC" w:rsidP="00CD27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14:paraId="511838DC" w14:textId="77777777" w:rsidR="00CD27AC" w:rsidRPr="00254174" w:rsidRDefault="00CD27AC" w:rsidP="00CD27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14:paraId="294A37C6" w14:textId="77777777" w:rsidR="00CD27AC" w:rsidRPr="00254174" w:rsidRDefault="00CD27AC" w:rsidP="00CD27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14:paraId="1F4A7754" w14:textId="77777777" w:rsidR="00CD27AC" w:rsidRPr="00254174" w:rsidRDefault="00CD27AC" w:rsidP="00CD27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14:paraId="06D0A78A" w14:textId="77777777" w:rsidR="00CD27AC" w:rsidRPr="00254174" w:rsidRDefault="00CD27AC" w:rsidP="00CD27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14:paraId="0DB7FA54" w14:textId="77777777" w:rsidR="00CD27AC" w:rsidRPr="00254174" w:rsidRDefault="00CD27AC" w:rsidP="00CD27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14:paraId="660B2DE6" w14:textId="77777777" w:rsidR="00CD27AC" w:rsidRPr="00254174" w:rsidRDefault="00CD27AC" w:rsidP="00CD27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14:paraId="55ECB209" w14:textId="77777777" w:rsidR="00CD27AC" w:rsidRPr="00254174" w:rsidRDefault="00CD27AC" w:rsidP="00CD27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14:paraId="7476E92B" w14:textId="77777777" w:rsidR="00CD27AC" w:rsidRPr="00254174" w:rsidRDefault="00CD27AC" w:rsidP="00CD27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254174">
        <w:rPr>
          <w:rFonts w:ascii="Times New Roman" w:hAnsi="Times New Roman" w:cs="Times New Roman"/>
          <w:color w:val="000000" w:themeColor="text1"/>
          <w:spacing w:val="54"/>
          <w:sz w:val="28"/>
          <w:szCs w:val="28"/>
        </w:rPr>
        <w:t>ПРОГРАМА</w:t>
      </w:r>
      <w:r w:rsidRPr="0025417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«Доступна вода» на 2024рік</w:t>
      </w:r>
    </w:p>
    <w:p w14:paraId="10DC1807" w14:textId="77777777" w:rsidR="00CD27AC" w:rsidRPr="00254174" w:rsidRDefault="00CD27AC" w:rsidP="00CD2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926C54" w14:textId="77777777" w:rsidR="00CD27AC" w:rsidRPr="00254174" w:rsidRDefault="00CD27AC" w:rsidP="00CD2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52BDAA" w14:textId="77777777" w:rsidR="00CD27AC" w:rsidRPr="00254174" w:rsidRDefault="00CD27AC" w:rsidP="00CD2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42F2DA" w14:textId="77777777" w:rsidR="00CD27AC" w:rsidRPr="00254174" w:rsidRDefault="00CD27AC" w:rsidP="00CD2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6B9C10" w14:textId="77777777" w:rsidR="00CD27AC" w:rsidRPr="00254174" w:rsidRDefault="00CD27AC" w:rsidP="00CD27AC">
      <w:pPr>
        <w:pStyle w:val="8"/>
        <w:keepNext/>
        <w:spacing w:before="0" w:after="0"/>
        <w:jc w:val="center"/>
        <w:rPr>
          <w:rFonts w:ascii="Times New Roman" w:hAnsi="Times New Roman"/>
          <w:bCs/>
          <w:i w:val="0"/>
          <w:color w:val="000000" w:themeColor="text1"/>
          <w:sz w:val="28"/>
          <w:szCs w:val="28"/>
        </w:rPr>
      </w:pPr>
    </w:p>
    <w:p w14:paraId="3D4F1038" w14:textId="77777777" w:rsidR="00CD27AC" w:rsidRPr="00254174" w:rsidRDefault="00CD27AC" w:rsidP="00CD27AC">
      <w:pPr>
        <w:pStyle w:val="8"/>
        <w:keepNext/>
        <w:spacing w:before="0" w:after="0"/>
        <w:jc w:val="center"/>
        <w:rPr>
          <w:rFonts w:ascii="Times New Roman" w:hAnsi="Times New Roman"/>
          <w:bCs/>
          <w:i w:val="0"/>
          <w:color w:val="000000" w:themeColor="text1"/>
          <w:sz w:val="28"/>
          <w:szCs w:val="28"/>
        </w:rPr>
      </w:pPr>
    </w:p>
    <w:p w14:paraId="1D2DF83B" w14:textId="77777777" w:rsidR="00CD27AC" w:rsidRPr="00254174" w:rsidRDefault="00CD27AC" w:rsidP="00CD27AC">
      <w:pPr>
        <w:pStyle w:val="8"/>
        <w:keepNext/>
        <w:spacing w:before="0" w:after="0"/>
        <w:jc w:val="center"/>
        <w:rPr>
          <w:rFonts w:ascii="Times New Roman" w:hAnsi="Times New Roman"/>
          <w:bCs/>
          <w:i w:val="0"/>
          <w:color w:val="000000" w:themeColor="text1"/>
          <w:sz w:val="28"/>
          <w:szCs w:val="28"/>
        </w:rPr>
      </w:pPr>
    </w:p>
    <w:p w14:paraId="0798B8A4" w14:textId="77777777" w:rsidR="00CD27AC" w:rsidRPr="00254174" w:rsidRDefault="00CD27AC" w:rsidP="00CD27AC">
      <w:pPr>
        <w:pStyle w:val="8"/>
        <w:keepNext/>
        <w:spacing w:before="0" w:after="0"/>
        <w:jc w:val="center"/>
        <w:rPr>
          <w:rFonts w:ascii="Times New Roman" w:hAnsi="Times New Roman"/>
          <w:bCs/>
          <w:i w:val="0"/>
          <w:color w:val="000000" w:themeColor="text1"/>
          <w:sz w:val="28"/>
          <w:szCs w:val="28"/>
        </w:rPr>
      </w:pPr>
    </w:p>
    <w:p w14:paraId="08F030D1" w14:textId="77777777" w:rsidR="00CD27AC" w:rsidRPr="00254174" w:rsidRDefault="00CD27AC" w:rsidP="00CD27AC">
      <w:pPr>
        <w:pStyle w:val="8"/>
        <w:keepNext/>
        <w:spacing w:before="0" w:after="0"/>
        <w:jc w:val="center"/>
        <w:rPr>
          <w:rFonts w:ascii="Times New Roman" w:hAnsi="Times New Roman"/>
          <w:bCs/>
          <w:i w:val="0"/>
          <w:sz w:val="28"/>
          <w:szCs w:val="28"/>
        </w:rPr>
      </w:pPr>
    </w:p>
    <w:p w14:paraId="018D6F1D" w14:textId="77777777" w:rsidR="00CD27AC" w:rsidRPr="00254174" w:rsidRDefault="00CD27AC" w:rsidP="00CD27AC">
      <w:pPr>
        <w:spacing w:after="0" w:line="240" w:lineRule="auto"/>
        <w:rPr>
          <w:lang w:eastAsia="ru-RU"/>
        </w:rPr>
      </w:pPr>
    </w:p>
    <w:p w14:paraId="29EC4CF4" w14:textId="77777777" w:rsidR="00CD27AC" w:rsidRPr="00254174" w:rsidRDefault="00CD27AC" w:rsidP="00CD27AC">
      <w:pPr>
        <w:spacing w:after="0" w:line="240" w:lineRule="auto"/>
        <w:rPr>
          <w:lang w:eastAsia="ru-RU"/>
        </w:rPr>
      </w:pPr>
    </w:p>
    <w:p w14:paraId="695106EE" w14:textId="77777777" w:rsidR="00CD27AC" w:rsidRPr="00254174" w:rsidRDefault="00CD27AC" w:rsidP="00CD27AC">
      <w:pPr>
        <w:spacing w:after="0" w:line="240" w:lineRule="auto"/>
        <w:rPr>
          <w:lang w:eastAsia="ru-RU"/>
        </w:rPr>
      </w:pPr>
    </w:p>
    <w:p w14:paraId="6483B914" w14:textId="77777777" w:rsidR="00CD27AC" w:rsidRPr="00254174" w:rsidRDefault="00CD27AC" w:rsidP="00CD27AC">
      <w:pPr>
        <w:spacing w:after="0" w:line="240" w:lineRule="auto"/>
        <w:rPr>
          <w:lang w:eastAsia="ru-RU"/>
        </w:rPr>
      </w:pPr>
    </w:p>
    <w:p w14:paraId="2C6029E8" w14:textId="77777777" w:rsidR="00CD27AC" w:rsidRPr="00254174" w:rsidRDefault="00CD27AC" w:rsidP="00CD27AC">
      <w:pPr>
        <w:spacing w:after="0" w:line="240" w:lineRule="auto"/>
        <w:rPr>
          <w:lang w:eastAsia="ru-RU"/>
        </w:rPr>
      </w:pPr>
    </w:p>
    <w:p w14:paraId="00346381" w14:textId="77777777" w:rsidR="00CD27AC" w:rsidRPr="00254174" w:rsidRDefault="00CD27AC" w:rsidP="00CD27AC">
      <w:pPr>
        <w:spacing w:after="0" w:line="240" w:lineRule="auto"/>
        <w:rPr>
          <w:lang w:eastAsia="ru-RU"/>
        </w:rPr>
      </w:pPr>
    </w:p>
    <w:p w14:paraId="74DA0482" w14:textId="77777777" w:rsidR="00CD27AC" w:rsidRPr="00254174" w:rsidRDefault="00CD27AC" w:rsidP="00CD27AC">
      <w:pPr>
        <w:spacing w:after="0" w:line="240" w:lineRule="auto"/>
        <w:rPr>
          <w:lang w:eastAsia="ru-RU"/>
        </w:rPr>
      </w:pPr>
    </w:p>
    <w:p w14:paraId="6AEBD55A" w14:textId="77777777" w:rsidR="00CD27AC" w:rsidRPr="00254174" w:rsidRDefault="00CD27AC" w:rsidP="00CD27AC">
      <w:pPr>
        <w:spacing w:after="0" w:line="240" w:lineRule="auto"/>
        <w:rPr>
          <w:lang w:eastAsia="ru-RU"/>
        </w:rPr>
      </w:pPr>
    </w:p>
    <w:p w14:paraId="7464DC19" w14:textId="77777777" w:rsidR="00CD27AC" w:rsidRPr="00254174" w:rsidRDefault="00CD27AC" w:rsidP="00CD27AC">
      <w:pPr>
        <w:spacing w:after="0" w:line="240" w:lineRule="auto"/>
        <w:rPr>
          <w:lang w:eastAsia="ru-RU"/>
        </w:rPr>
      </w:pPr>
    </w:p>
    <w:p w14:paraId="5C5C9567" w14:textId="77777777" w:rsidR="00CD27AC" w:rsidRPr="00254174" w:rsidRDefault="00CD27AC" w:rsidP="00CD27AC">
      <w:pPr>
        <w:spacing w:after="0" w:line="240" w:lineRule="auto"/>
        <w:rPr>
          <w:rFonts w:ascii="Times New Roman" w:hAnsi="Times New Roman" w:cs="Times New Roman"/>
        </w:rPr>
      </w:pPr>
    </w:p>
    <w:p w14:paraId="66DC8707" w14:textId="77777777" w:rsidR="00CD27AC" w:rsidRPr="00254174" w:rsidRDefault="00CD27AC" w:rsidP="00CD27AC">
      <w:pPr>
        <w:spacing w:after="0" w:line="240" w:lineRule="auto"/>
        <w:rPr>
          <w:rFonts w:ascii="Times New Roman" w:hAnsi="Times New Roman" w:cs="Times New Roman"/>
        </w:rPr>
      </w:pPr>
    </w:p>
    <w:p w14:paraId="353505FD" w14:textId="77777777" w:rsidR="00CD27AC" w:rsidRPr="00254174" w:rsidRDefault="00CD27AC" w:rsidP="00CD27AC">
      <w:pPr>
        <w:spacing w:after="0" w:line="240" w:lineRule="auto"/>
        <w:rPr>
          <w:rFonts w:ascii="Times New Roman" w:hAnsi="Times New Roman" w:cs="Times New Roman"/>
        </w:rPr>
      </w:pPr>
    </w:p>
    <w:p w14:paraId="4E338AB5" w14:textId="77777777" w:rsidR="00CD27AC" w:rsidRPr="00254174" w:rsidRDefault="00CD27AC" w:rsidP="00CD27AC">
      <w:pPr>
        <w:spacing w:after="0" w:line="240" w:lineRule="auto"/>
        <w:rPr>
          <w:rFonts w:ascii="Times New Roman" w:hAnsi="Times New Roman" w:cs="Times New Roman"/>
        </w:rPr>
      </w:pPr>
    </w:p>
    <w:p w14:paraId="2A5D2CC1" w14:textId="77777777" w:rsidR="00CD27AC" w:rsidRPr="00254174" w:rsidRDefault="00CD27AC" w:rsidP="00CD27AC">
      <w:pPr>
        <w:spacing w:after="0" w:line="240" w:lineRule="auto"/>
        <w:rPr>
          <w:rFonts w:ascii="Times New Roman" w:hAnsi="Times New Roman" w:cs="Times New Roman"/>
        </w:rPr>
      </w:pPr>
    </w:p>
    <w:p w14:paraId="538AAA46" w14:textId="77777777" w:rsidR="00CD27AC" w:rsidRPr="00254174" w:rsidRDefault="00CD27AC" w:rsidP="00CD27AC">
      <w:pPr>
        <w:spacing w:after="0" w:line="240" w:lineRule="auto"/>
        <w:rPr>
          <w:rFonts w:ascii="Times New Roman" w:hAnsi="Times New Roman" w:cs="Times New Roman"/>
        </w:rPr>
      </w:pPr>
    </w:p>
    <w:p w14:paraId="09B3282F" w14:textId="77777777" w:rsidR="00CD27AC" w:rsidRPr="00254174" w:rsidRDefault="00CD27AC" w:rsidP="00CD27AC">
      <w:pPr>
        <w:spacing w:after="0" w:line="240" w:lineRule="auto"/>
        <w:rPr>
          <w:rFonts w:ascii="Times New Roman" w:hAnsi="Times New Roman" w:cs="Times New Roman"/>
        </w:rPr>
      </w:pPr>
    </w:p>
    <w:p w14:paraId="39194401" w14:textId="77777777" w:rsidR="00CD27AC" w:rsidRPr="00254174" w:rsidRDefault="00CD27AC" w:rsidP="00CD27AC">
      <w:pPr>
        <w:spacing w:after="0" w:line="240" w:lineRule="auto"/>
        <w:rPr>
          <w:rFonts w:ascii="Times New Roman" w:hAnsi="Times New Roman" w:cs="Times New Roman"/>
        </w:rPr>
      </w:pPr>
    </w:p>
    <w:p w14:paraId="1952A54B" w14:textId="77777777" w:rsidR="00CD27AC" w:rsidRPr="00254174" w:rsidRDefault="00CD27AC" w:rsidP="00CD27AC">
      <w:pPr>
        <w:spacing w:after="0" w:line="240" w:lineRule="auto"/>
        <w:rPr>
          <w:rFonts w:ascii="Times New Roman" w:hAnsi="Times New Roman" w:cs="Times New Roman"/>
        </w:rPr>
      </w:pPr>
    </w:p>
    <w:p w14:paraId="129BFA4D" w14:textId="77777777" w:rsidR="00CD27AC" w:rsidRPr="00254174" w:rsidRDefault="00CD27AC" w:rsidP="00CD27AC">
      <w:pPr>
        <w:spacing w:after="0" w:line="240" w:lineRule="auto"/>
        <w:rPr>
          <w:rFonts w:ascii="Times New Roman" w:hAnsi="Times New Roman" w:cs="Times New Roman"/>
        </w:rPr>
      </w:pPr>
    </w:p>
    <w:p w14:paraId="04DE1D77" w14:textId="77777777" w:rsidR="00CD27AC" w:rsidRPr="00254174" w:rsidRDefault="00CD27AC" w:rsidP="00CD27AC">
      <w:pPr>
        <w:spacing w:after="0" w:line="240" w:lineRule="auto"/>
        <w:rPr>
          <w:rFonts w:ascii="Times New Roman" w:hAnsi="Times New Roman" w:cs="Times New Roman"/>
        </w:rPr>
      </w:pPr>
    </w:p>
    <w:p w14:paraId="581D0844" w14:textId="4B31AE69" w:rsidR="00CD27AC" w:rsidRPr="00254174" w:rsidRDefault="00CD27AC" w:rsidP="00CD27AC">
      <w:pPr>
        <w:pStyle w:val="8"/>
        <w:keepNext/>
        <w:spacing w:before="0" w:after="0"/>
        <w:jc w:val="center"/>
        <w:rPr>
          <w:rFonts w:ascii="Times New Roman" w:hAnsi="Times New Roman"/>
          <w:bCs/>
          <w:i w:val="0"/>
          <w:sz w:val="28"/>
          <w:szCs w:val="28"/>
        </w:rPr>
      </w:pPr>
      <w:r w:rsidRPr="00254174">
        <w:rPr>
          <w:rFonts w:ascii="Times New Roman" w:hAnsi="Times New Roman"/>
          <w:color w:val="303030"/>
          <w:sz w:val="28"/>
          <w:szCs w:val="28"/>
        </w:rPr>
        <w:br w:type="page"/>
      </w:r>
    </w:p>
    <w:p w14:paraId="6CD2EEB8" w14:textId="77777777" w:rsidR="00CD27AC" w:rsidRPr="00254174" w:rsidRDefault="00CD27AC" w:rsidP="00CD2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lastRenderedPageBreak/>
        <w:t>Розділ 1. Загальні положення та визначення проблем,</w:t>
      </w:r>
    </w:p>
    <w:p w14:paraId="731CF6C3" w14:textId="77777777" w:rsidR="00CD27AC" w:rsidRPr="00254174" w:rsidRDefault="00CD27AC" w:rsidP="00CD2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t>на розв’язання яких спрямована Програма</w:t>
      </w:r>
    </w:p>
    <w:p w14:paraId="393382AA" w14:textId="77777777" w:rsidR="00CD27AC" w:rsidRPr="00254174" w:rsidRDefault="00CD27AC" w:rsidP="00CD2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2875EC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t>Програма «Доступна вода» на 2024 рік (далі – Програма) спрямована на реалізацію міської політики щодо забезпечення населення Миколаївської міської територіальної громади очищеною водою.</w:t>
      </w:r>
    </w:p>
    <w:p w14:paraId="1340A120" w14:textId="02256F2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t xml:space="preserve">Забезпечення населення Миколаївської міської територіальної громади очищеною водою є однією з пріоритетних проблем, розв’язання якої надзвичайно важливе для збереження здоров’я, поліпшення умов життєдіяльності </w:t>
      </w:r>
      <w:r w:rsidR="004A23D5">
        <w:rPr>
          <w:rFonts w:ascii="Times New Roman" w:hAnsi="Times New Roman" w:cs="Times New Roman"/>
          <w:sz w:val="28"/>
          <w:szCs w:val="28"/>
        </w:rPr>
        <w:t>та</w:t>
      </w:r>
      <w:r w:rsidRPr="00254174">
        <w:rPr>
          <w:rFonts w:ascii="Times New Roman" w:hAnsi="Times New Roman" w:cs="Times New Roman"/>
          <w:sz w:val="28"/>
          <w:szCs w:val="28"/>
        </w:rPr>
        <w:t xml:space="preserve"> підвищення рівня життя населення.</w:t>
      </w:r>
    </w:p>
    <w:p w14:paraId="3171F98E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t>Програма передбачає заходи щодо раціонального використання джерел водопостачання, організації ефективного управління у сфері обслуговування і надання послуг водопостачання, технічного переоснащення і модернізації системи очищення води, підвищення рівня та якості послуг водопостачання.</w:t>
      </w:r>
    </w:p>
    <w:p w14:paraId="7C7F8783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t>Розроблення Програми обумовлено:</w:t>
      </w:r>
    </w:p>
    <w:p w14:paraId="437E9F01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t>- пошкодженим внаслідок ворожих обстрілів Російської Федерації під час дії воєнного стану на території України водоводу, яким здійснювалося постачання води до міста Миколаєва з річки Дніпро;</w:t>
      </w:r>
    </w:p>
    <w:p w14:paraId="6BA6D149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t>- незадовільною якістю (санітарним характеристикам) води з Бузького лиману, яку вимушено подано для забезпечення технічною водою мешканців міста внаслідок пошкодженого водогону з річки Дніпро;</w:t>
      </w:r>
    </w:p>
    <w:p w14:paraId="79B7DB3F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t>- частковою відсутністю централізованого водопостачання в місті;</w:t>
      </w:r>
    </w:p>
    <w:p w14:paraId="1D62F84D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t>- потенційною загрозою ускладнення санітарно-епідемічної ситуації внаслідок низької якості води;</w:t>
      </w:r>
    </w:p>
    <w:p w14:paraId="78DC518D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t>- відсутністю балансоутримувачів систем очищення води та свердловин, до яких підключені системи очищення води;</w:t>
      </w:r>
    </w:p>
    <w:p w14:paraId="3731752D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t xml:space="preserve">- відсутністю контролюючого органу за обслуговуванням систем очищення води та свердловин, до яких підключені системи очищення води. </w:t>
      </w:r>
    </w:p>
    <w:p w14:paraId="7F690900" w14:textId="7A15E5E5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t>Під час дії воєнного стану на території України 12</w:t>
      </w:r>
      <w:r w:rsidR="004A23D5">
        <w:rPr>
          <w:rFonts w:ascii="Times New Roman" w:hAnsi="Times New Roman" w:cs="Times New Roman"/>
          <w:sz w:val="28"/>
          <w:szCs w:val="28"/>
        </w:rPr>
        <w:t>.04.</w:t>
      </w:r>
      <w:r w:rsidRPr="00254174">
        <w:rPr>
          <w:rFonts w:ascii="Times New Roman" w:hAnsi="Times New Roman" w:cs="Times New Roman"/>
          <w:sz w:val="28"/>
          <w:szCs w:val="28"/>
        </w:rPr>
        <w:t xml:space="preserve">2022 централізоване водопостачання в місті Миколаєві було припинено у зв’язку з пошкодженням водоводу Дніпро-Миколаїв внаслідок обстрілів країною-агресором, Російською Федерацією, з метою нівелювання наслідків надзвичайної ситуації, органами місцевого самоврядування, волонтерськими організаціями та підприємцями було організовано підвезення технічної води мешканцям міста, забезпечено роботу точок продажу очищеної води та  точок роздачі </w:t>
      </w:r>
      <w:proofErr w:type="spellStart"/>
      <w:r w:rsidRPr="00254174">
        <w:rPr>
          <w:rFonts w:ascii="Times New Roman" w:hAnsi="Times New Roman" w:cs="Times New Roman"/>
          <w:sz w:val="28"/>
          <w:szCs w:val="28"/>
        </w:rPr>
        <w:t>бутильованої</w:t>
      </w:r>
      <w:proofErr w:type="spellEnd"/>
      <w:r w:rsidRPr="00254174">
        <w:rPr>
          <w:rFonts w:ascii="Times New Roman" w:hAnsi="Times New Roman" w:cs="Times New Roman"/>
          <w:sz w:val="28"/>
          <w:szCs w:val="28"/>
        </w:rPr>
        <w:t xml:space="preserve"> очищеної води, що дозволило уникнути виникнення гуманітарної катастрофи в місті.</w:t>
      </w:r>
    </w:p>
    <w:p w14:paraId="7B8B340A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t>Завдяки злагодженій роботі служб виконавчих органів Миколаївської міської ради було проведено активний пошук альтернативних джерел водопостачання, задіяно потужності одного з місцевих підприємств щодо водозабору з Бузького лиману та проводились роботи з буріння артезіанських свердловин по всій території міста. Вода, що подається з Бузького лиману, проходить через міські очисні споруди водопроводу та отримує максимально можливі ступені очищення, знезараження та коагуляції, проте за своїми санітарно-хімічними показниками є придатною лише для господарсько-побутових потреб та непридатною до вживання та приготування їжі.</w:t>
      </w:r>
    </w:p>
    <w:p w14:paraId="26586B54" w14:textId="4760E57C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lastRenderedPageBreak/>
        <w:t>Підвищення спроможності та впровадження автономності міста Миколаєва, у</w:t>
      </w:r>
      <w:r w:rsidR="00F71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17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54174">
        <w:rPr>
          <w:rFonts w:ascii="Times New Roman" w:hAnsi="Times New Roman" w:cs="Times New Roman"/>
          <w:sz w:val="28"/>
          <w:szCs w:val="28"/>
        </w:rPr>
        <w:t xml:space="preserve">. під час воєнного стану, є сучасним інструментом в розрізі незалежності від зовнішнього фактору загрози ймовірних пошкоджень та руйнувань з боку країни - агресора під час ворожих обстрілів по всій території України, </w:t>
      </w:r>
      <w:r w:rsidR="00F712F6">
        <w:rPr>
          <w:rFonts w:ascii="Times New Roman" w:hAnsi="Times New Roman" w:cs="Times New Roman"/>
          <w:sz w:val="28"/>
          <w:szCs w:val="28"/>
        </w:rPr>
        <w:t xml:space="preserve">зокрема </w:t>
      </w:r>
      <w:r w:rsidRPr="00254174">
        <w:rPr>
          <w:rFonts w:ascii="Times New Roman" w:hAnsi="Times New Roman" w:cs="Times New Roman"/>
          <w:sz w:val="28"/>
          <w:szCs w:val="28"/>
        </w:rPr>
        <w:t>по критичній інфраструктурі. Здатність автономного вирішення питання забезпечення населення Миколаївської міської територіальної громади очищеною водою в період воєнного та післявоєнного часу надає можливість безперебійно забезпечувати базовими потребами життєдіяльності мешканців міста, що, у свою чергу, сприяє підвищенню стійкості міста та його обороноздатності.</w:t>
      </w:r>
    </w:p>
    <w:p w14:paraId="291A4D8F" w14:textId="6B509505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t>З метою забезпечення фільтрації води, її знезараження до рівня очищеної води органами місцевого самоврядування, комунальними підприємствами міста та іншими суб’єктами господарювання за 2022-2023 роки встановлено 203 системи очищення води, частина з яких має підключення або може бути підключена до свердловин. Обслуговування систем очищення води передбачає комплекс заходів, спрямованих на попередження перерв в роботі систем очищення води.</w:t>
      </w:r>
    </w:p>
    <w:p w14:paraId="711E2AD5" w14:textId="6D6CF641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t xml:space="preserve">Протягом терміну експлуатації мембранні елементи систем очищення води піддаються впливу розчинних і малорозчинних </w:t>
      </w:r>
      <w:proofErr w:type="spellStart"/>
      <w:r w:rsidRPr="00254174"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 w:rsidRPr="00254174">
        <w:rPr>
          <w:rFonts w:ascii="Times New Roman" w:hAnsi="Times New Roman" w:cs="Times New Roman"/>
          <w:sz w:val="28"/>
          <w:szCs w:val="28"/>
        </w:rPr>
        <w:t>, що містяться у воді. Найбільш поширеними забрудн</w:t>
      </w:r>
      <w:r w:rsidR="00F712F6">
        <w:rPr>
          <w:rFonts w:ascii="Times New Roman" w:hAnsi="Times New Roman" w:cs="Times New Roman"/>
          <w:sz w:val="28"/>
          <w:szCs w:val="28"/>
        </w:rPr>
        <w:t>ювачі</w:t>
      </w:r>
      <w:r w:rsidRPr="00254174">
        <w:rPr>
          <w:rFonts w:ascii="Times New Roman" w:hAnsi="Times New Roman" w:cs="Times New Roman"/>
          <w:sz w:val="28"/>
          <w:szCs w:val="28"/>
        </w:rPr>
        <w:t xml:space="preserve"> води, яка обробляється зворотним осмосом, є карбонат кальцію (крейда), сульфати кальцію (гіпс), барію і стронцію, окисли заліза, марганцю, міді, нікелю, алюмінію тощо, полімеризований кремній, неорганічні/органічні або змішані колоїдні відкладення, органічні відкладення природного походження, штучні органічні сполуки, такі як </w:t>
      </w:r>
      <w:proofErr w:type="spellStart"/>
      <w:r w:rsidRPr="00254174">
        <w:rPr>
          <w:rFonts w:ascii="Times New Roman" w:hAnsi="Times New Roman" w:cs="Times New Roman"/>
          <w:sz w:val="28"/>
          <w:szCs w:val="28"/>
        </w:rPr>
        <w:t>антискаланти</w:t>
      </w:r>
      <w:proofErr w:type="spellEnd"/>
      <w:r w:rsidRPr="002541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4174">
        <w:rPr>
          <w:rFonts w:ascii="Times New Roman" w:hAnsi="Times New Roman" w:cs="Times New Roman"/>
          <w:sz w:val="28"/>
          <w:szCs w:val="28"/>
        </w:rPr>
        <w:t>дисперганти</w:t>
      </w:r>
      <w:proofErr w:type="spellEnd"/>
      <w:r w:rsidRPr="002541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4174">
        <w:rPr>
          <w:rFonts w:ascii="Times New Roman" w:hAnsi="Times New Roman" w:cs="Times New Roman"/>
          <w:sz w:val="28"/>
          <w:szCs w:val="28"/>
        </w:rPr>
        <w:t>катіонітні</w:t>
      </w:r>
      <w:proofErr w:type="spellEnd"/>
      <w:r w:rsidRPr="00254174">
        <w:rPr>
          <w:rFonts w:ascii="Times New Roman" w:hAnsi="Times New Roman" w:cs="Times New Roman"/>
          <w:sz w:val="28"/>
          <w:szCs w:val="28"/>
        </w:rPr>
        <w:t xml:space="preserve"> поліелектроліти, мікробіологічні відкладення, такі як водорості, пліснява, гриби тощо.</w:t>
      </w:r>
    </w:p>
    <w:p w14:paraId="2D5E1CF3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t xml:space="preserve">Зазвичай вплив </w:t>
      </w:r>
      <w:proofErr w:type="spellStart"/>
      <w:r w:rsidRPr="00254174">
        <w:rPr>
          <w:rFonts w:ascii="Times New Roman" w:hAnsi="Times New Roman" w:cs="Times New Roman"/>
          <w:sz w:val="28"/>
          <w:szCs w:val="28"/>
        </w:rPr>
        <w:t>відкладень</w:t>
      </w:r>
      <w:proofErr w:type="spellEnd"/>
      <w:r w:rsidRPr="00254174">
        <w:rPr>
          <w:rFonts w:ascii="Times New Roman" w:hAnsi="Times New Roman" w:cs="Times New Roman"/>
          <w:sz w:val="28"/>
          <w:szCs w:val="28"/>
        </w:rPr>
        <w:t xml:space="preserve"> швидко прогресує і впливає на режим роботи системи, якщо не проводити профілактичну промивку обладнання. Рекомендується виконувати профілактичну промивку мембран без тривалої зупинки в роботі для уникнення поширення мікробіологічного забруднення в тілі мембрани. Доцільно виконувати промивку мембран, коли показники обладнання свідчать про забруднення: зниження продуктивності по продукту (</w:t>
      </w:r>
      <w:proofErr w:type="spellStart"/>
      <w:r w:rsidRPr="00254174">
        <w:rPr>
          <w:rFonts w:ascii="Times New Roman" w:hAnsi="Times New Roman" w:cs="Times New Roman"/>
          <w:sz w:val="28"/>
          <w:szCs w:val="28"/>
        </w:rPr>
        <w:t>пермеату</w:t>
      </w:r>
      <w:proofErr w:type="spellEnd"/>
      <w:r w:rsidRPr="00254174">
        <w:rPr>
          <w:rFonts w:ascii="Times New Roman" w:hAnsi="Times New Roman" w:cs="Times New Roman"/>
          <w:sz w:val="28"/>
          <w:szCs w:val="28"/>
        </w:rPr>
        <w:t xml:space="preserve">) на 10-15%, відхилення від номінального значення якості </w:t>
      </w:r>
      <w:proofErr w:type="spellStart"/>
      <w:r w:rsidRPr="00254174">
        <w:rPr>
          <w:rFonts w:ascii="Times New Roman" w:hAnsi="Times New Roman" w:cs="Times New Roman"/>
          <w:sz w:val="28"/>
          <w:szCs w:val="28"/>
        </w:rPr>
        <w:t>пермеату</w:t>
      </w:r>
      <w:proofErr w:type="spellEnd"/>
      <w:r w:rsidRPr="00254174">
        <w:rPr>
          <w:rFonts w:ascii="Times New Roman" w:hAnsi="Times New Roman" w:cs="Times New Roman"/>
          <w:sz w:val="28"/>
          <w:szCs w:val="28"/>
        </w:rPr>
        <w:t xml:space="preserve"> на 10-15%, збільшення номінального тиску на мембранах на 10-15%. Таким чином, постійний контроль показників режиму роботи обладнання є основним фактором у визначенні характеру і ступеня забруднення </w:t>
      </w:r>
      <w:proofErr w:type="spellStart"/>
      <w:r w:rsidRPr="00254174">
        <w:rPr>
          <w:rFonts w:ascii="Times New Roman" w:hAnsi="Times New Roman" w:cs="Times New Roman"/>
          <w:sz w:val="28"/>
          <w:szCs w:val="28"/>
        </w:rPr>
        <w:t>зворотноосмотичних</w:t>
      </w:r>
      <w:proofErr w:type="spellEnd"/>
      <w:r w:rsidRPr="00254174">
        <w:rPr>
          <w:rFonts w:ascii="Times New Roman" w:hAnsi="Times New Roman" w:cs="Times New Roman"/>
          <w:sz w:val="28"/>
          <w:szCs w:val="28"/>
        </w:rPr>
        <w:t xml:space="preserve"> мембран. При подачі більш забрудненої води  швидше прискорюється псування елементів та деталей систем очищення води, з огляду на це ступінь забруднення води впливає на періодичність проведення ремонту та заміни комплектуючих системи очищення води.</w:t>
      </w:r>
    </w:p>
    <w:p w14:paraId="0E895B97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t>Миколаївська міська територіальна громада розміщена на території з невисоким рівнем ґрунтових вод, з огляду на це вода без попередньої фільтрації у 80% громадських колодязях непридатна для споживання за результатами бактеріологічних досліджень.</w:t>
      </w:r>
    </w:p>
    <w:p w14:paraId="468B6401" w14:textId="68DE9DA0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lastRenderedPageBreak/>
        <w:t xml:space="preserve">Балансоутримувачем систем очищення води є суб’єкт, за яким закріплено (передано на баланс) такі системи відповідно до вимог чинного законодавства. Балансоутримувач систем очищення води зобов’язаний проводити необхідні заходи з обслуговування та технічної експлуатації таких об’єктів. Технічна експлуатація систем очищення води повинна забезпечити безперебійну і надійну роботу всіх систем при високих техніко-економічних і якісних показниках з врахуванням вимог охорони водних ресурсів від забруднення стічними водами і їх раціонального використання; механізацію і автоматизацію виробничих процесів, проведення заходів для зменшення втрат води, ресурсів і матеріалів; проведення профілактичного огляду і планово-попереджувального ремонту елементів </w:t>
      </w:r>
      <w:r w:rsidR="009521B2">
        <w:rPr>
          <w:rFonts w:ascii="Times New Roman" w:hAnsi="Times New Roman" w:cs="Times New Roman"/>
          <w:sz w:val="28"/>
          <w:szCs w:val="28"/>
        </w:rPr>
        <w:t>та</w:t>
      </w:r>
      <w:r w:rsidRPr="00254174">
        <w:rPr>
          <w:rFonts w:ascii="Times New Roman" w:hAnsi="Times New Roman" w:cs="Times New Roman"/>
          <w:sz w:val="28"/>
          <w:szCs w:val="28"/>
        </w:rPr>
        <w:t xml:space="preserve"> устаткування; вжиття заходів щодо попередження, вчасного виявлення і ліквідації аварій, а також обслуговування систем очищення води включає в себе витрати на заробітну плату фахівців, логістичні питання та інше. </w:t>
      </w:r>
    </w:p>
    <w:p w14:paraId="6C886462" w14:textId="77777777" w:rsidR="00CD27AC" w:rsidRPr="00254174" w:rsidRDefault="00CD27AC" w:rsidP="00CD27AC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14:paraId="478004A1" w14:textId="77777777" w:rsidR="00CD27AC" w:rsidRPr="00254174" w:rsidRDefault="00CD27AC" w:rsidP="00CD27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Технічні характеристики систем очищення води </w:t>
      </w:r>
    </w:p>
    <w:p w14:paraId="153E663D" w14:textId="77777777" w:rsidR="00CD27AC" w:rsidRPr="00254174" w:rsidRDefault="00CD27AC" w:rsidP="00CD27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2984"/>
        <w:gridCol w:w="2693"/>
        <w:gridCol w:w="2268"/>
      </w:tblGrid>
      <w:tr w:rsidR="00CD27AC" w:rsidRPr="00254174" w14:paraId="27218EE1" w14:textId="77777777" w:rsidTr="008517F2">
        <w:trPr>
          <w:jc w:val="center"/>
        </w:trPr>
        <w:tc>
          <w:tcPr>
            <w:tcW w:w="555" w:type="dxa"/>
          </w:tcPr>
          <w:p w14:paraId="15E4EC28" w14:textId="77777777" w:rsidR="00CD27AC" w:rsidRPr="00254174" w:rsidRDefault="00CD27AC" w:rsidP="00851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з/п</w:t>
            </w:r>
          </w:p>
        </w:tc>
        <w:tc>
          <w:tcPr>
            <w:tcW w:w="2984" w:type="dxa"/>
          </w:tcPr>
          <w:p w14:paraId="0A4484A4" w14:textId="77777777" w:rsidR="00CD27AC" w:rsidRPr="00254174" w:rsidRDefault="00CD27AC" w:rsidP="00851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Питома витрата електроенергії, кВт/м</w:t>
            </w:r>
            <w:r w:rsidRPr="00254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3" w:type="dxa"/>
          </w:tcPr>
          <w:p w14:paraId="01A12D59" w14:textId="77777777" w:rsidR="00CD27AC" w:rsidRPr="00254174" w:rsidRDefault="00CD27AC" w:rsidP="00851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Об’єм споживання води, м</w:t>
            </w:r>
            <w:r w:rsidRPr="00254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254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/год</w:t>
            </w:r>
          </w:p>
        </w:tc>
        <w:tc>
          <w:tcPr>
            <w:tcW w:w="2268" w:type="dxa"/>
          </w:tcPr>
          <w:p w14:paraId="1F55516D" w14:textId="77777777" w:rsidR="00CD27AC" w:rsidRPr="00254174" w:rsidRDefault="00CD27AC" w:rsidP="00851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Об’єм очищеної води, м</w:t>
            </w:r>
            <w:r w:rsidRPr="00254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254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/год</w:t>
            </w:r>
          </w:p>
        </w:tc>
      </w:tr>
      <w:tr w:rsidR="00CD27AC" w:rsidRPr="00254174" w14:paraId="1C7CA8D3" w14:textId="77777777" w:rsidTr="008517F2">
        <w:trPr>
          <w:jc w:val="center"/>
        </w:trPr>
        <w:tc>
          <w:tcPr>
            <w:tcW w:w="555" w:type="dxa"/>
          </w:tcPr>
          <w:p w14:paraId="4D730945" w14:textId="77777777" w:rsidR="00CD27AC" w:rsidRPr="00254174" w:rsidRDefault="00CD27AC" w:rsidP="00851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984" w:type="dxa"/>
          </w:tcPr>
          <w:p w14:paraId="51376EC0" w14:textId="77777777" w:rsidR="00CD27AC" w:rsidRPr="00254174" w:rsidRDefault="00CD27AC" w:rsidP="00851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4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1,5</w:t>
            </w:r>
          </w:p>
        </w:tc>
        <w:tc>
          <w:tcPr>
            <w:tcW w:w="2693" w:type="dxa"/>
          </w:tcPr>
          <w:p w14:paraId="56A09344" w14:textId="77777777" w:rsidR="00CD27AC" w:rsidRPr="00254174" w:rsidRDefault="00CD27AC" w:rsidP="00851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4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1,5</w:t>
            </w:r>
          </w:p>
        </w:tc>
        <w:tc>
          <w:tcPr>
            <w:tcW w:w="2268" w:type="dxa"/>
          </w:tcPr>
          <w:p w14:paraId="693E7789" w14:textId="77777777" w:rsidR="00CD27AC" w:rsidRPr="00254174" w:rsidRDefault="00CD27AC" w:rsidP="00851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4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0,5</w:t>
            </w:r>
          </w:p>
        </w:tc>
      </w:tr>
      <w:tr w:rsidR="00CD27AC" w:rsidRPr="00254174" w14:paraId="66E01B2D" w14:textId="77777777" w:rsidTr="008517F2">
        <w:trPr>
          <w:jc w:val="center"/>
        </w:trPr>
        <w:tc>
          <w:tcPr>
            <w:tcW w:w="555" w:type="dxa"/>
          </w:tcPr>
          <w:p w14:paraId="75656943" w14:textId="77777777" w:rsidR="00CD27AC" w:rsidRPr="00254174" w:rsidRDefault="00CD27AC" w:rsidP="00851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984" w:type="dxa"/>
          </w:tcPr>
          <w:p w14:paraId="4E841B89" w14:textId="77777777" w:rsidR="00CD27AC" w:rsidRPr="00254174" w:rsidRDefault="00CD27AC" w:rsidP="00851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4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1,5</w:t>
            </w:r>
          </w:p>
        </w:tc>
        <w:tc>
          <w:tcPr>
            <w:tcW w:w="2693" w:type="dxa"/>
          </w:tcPr>
          <w:p w14:paraId="3D213BB3" w14:textId="77777777" w:rsidR="00CD27AC" w:rsidRPr="00254174" w:rsidRDefault="00CD27AC" w:rsidP="00851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4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</w:tcPr>
          <w:p w14:paraId="3EFC0F34" w14:textId="77777777" w:rsidR="00CD27AC" w:rsidRPr="00254174" w:rsidRDefault="00CD27AC" w:rsidP="00851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4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CD27AC" w:rsidRPr="00254174" w14:paraId="4AB946D2" w14:textId="77777777" w:rsidTr="008517F2">
        <w:trPr>
          <w:jc w:val="center"/>
        </w:trPr>
        <w:tc>
          <w:tcPr>
            <w:tcW w:w="555" w:type="dxa"/>
          </w:tcPr>
          <w:p w14:paraId="3E7F6CA8" w14:textId="77777777" w:rsidR="00CD27AC" w:rsidRPr="00254174" w:rsidRDefault="00CD27AC" w:rsidP="00851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984" w:type="dxa"/>
          </w:tcPr>
          <w:p w14:paraId="397844AB" w14:textId="77777777" w:rsidR="00CD27AC" w:rsidRPr="00254174" w:rsidRDefault="00CD27AC" w:rsidP="00851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4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1,6</w:t>
            </w:r>
          </w:p>
        </w:tc>
        <w:tc>
          <w:tcPr>
            <w:tcW w:w="2693" w:type="dxa"/>
          </w:tcPr>
          <w:p w14:paraId="55EF3394" w14:textId="77777777" w:rsidR="00CD27AC" w:rsidRPr="00254174" w:rsidRDefault="00CD27AC" w:rsidP="00851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4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1,6</w:t>
            </w:r>
          </w:p>
        </w:tc>
        <w:tc>
          <w:tcPr>
            <w:tcW w:w="2268" w:type="dxa"/>
          </w:tcPr>
          <w:p w14:paraId="549A9E57" w14:textId="77777777" w:rsidR="00CD27AC" w:rsidRPr="00254174" w:rsidRDefault="00CD27AC" w:rsidP="00851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4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0,75</w:t>
            </w:r>
          </w:p>
        </w:tc>
      </w:tr>
      <w:tr w:rsidR="00CD27AC" w:rsidRPr="00254174" w14:paraId="145585D2" w14:textId="77777777" w:rsidTr="008517F2">
        <w:trPr>
          <w:jc w:val="center"/>
        </w:trPr>
        <w:tc>
          <w:tcPr>
            <w:tcW w:w="555" w:type="dxa"/>
          </w:tcPr>
          <w:p w14:paraId="40DED09D" w14:textId="77777777" w:rsidR="00CD27AC" w:rsidRPr="00254174" w:rsidRDefault="00CD27AC" w:rsidP="00851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984" w:type="dxa"/>
          </w:tcPr>
          <w:p w14:paraId="3EF5E735" w14:textId="77777777" w:rsidR="00CD27AC" w:rsidRPr="00254174" w:rsidRDefault="00CD27AC" w:rsidP="00851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4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2693" w:type="dxa"/>
          </w:tcPr>
          <w:p w14:paraId="7AB3C3BA" w14:textId="77777777" w:rsidR="00CD27AC" w:rsidRPr="00254174" w:rsidRDefault="00CD27AC" w:rsidP="00851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4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2,5</w:t>
            </w:r>
          </w:p>
        </w:tc>
        <w:tc>
          <w:tcPr>
            <w:tcW w:w="2268" w:type="dxa"/>
          </w:tcPr>
          <w:p w14:paraId="5D68B0DA" w14:textId="77777777" w:rsidR="00CD27AC" w:rsidRPr="00254174" w:rsidRDefault="00CD27AC" w:rsidP="00851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4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1,5</w:t>
            </w:r>
          </w:p>
        </w:tc>
      </w:tr>
      <w:tr w:rsidR="00CD27AC" w:rsidRPr="00254174" w14:paraId="21047562" w14:textId="77777777" w:rsidTr="008517F2">
        <w:trPr>
          <w:jc w:val="center"/>
        </w:trPr>
        <w:tc>
          <w:tcPr>
            <w:tcW w:w="555" w:type="dxa"/>
          </w:tcPr>
          <w:p w14:paraId="2FFB8EF9" w14:textId="77777777" w:rsidR="00CD27AC" w:rsidRPr="00254174" w:rsidRDefault="00CD27AC" w:rsidP="00851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984" w:type="dxa"/>
          </w:tcPr>
          <w:p w14:paraId="60A8BD72" w14:textId="77777777" w:rsidR="00CD27AC" w:rsidRPr="00254174" w:rsidRDefault="00CD27AC" w:rsidP="00851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4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2693" w:type="dxa"/>
          </w:tcPr>
          <w:p w14:paraId="4478BA32" w14:textId="77777777" w:rsidR="00CD27AC" w:rsidRPr="00254174" w:rsidRDefault="00CD27AC" w:rsidP="00851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4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</w:tcPr>
          <w:p w14:paraId="668BECB3" w14:textId="77777777" w:rsidR="00CD27AC" w:rsidRPr="00254174" w:rsidRDefault="00CD27AC" w:rsidP="00851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4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1,5</w:t>
            </w:r>
          </w:p>
        </w:tc>
      </w:tr>
      <w:tr w:rsidR="00CD27AC" w:rsidRPr="00254174" w14:paraId="0B0DB80F" w14:textId="77777777" w:rsidTr="008517F2">
        <w:trPr>
          <w:jc w:val="center"/>
        </w:trPr>
        <w:tc>
          <w:tcPr>
            <w:tcW w:w="555" w:type="dxa"/>
          </w:tcPr>
          <w:p w14:paraId="4317E8B9" w14:textId="77777777" w:rsidR="00CD27AC" w:rsidRPr="00254174" w:rsidRDefault="00CD27AC" w:rsidP="00851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984" w:type="dxa"/>
          </w:tcPr>
          <w:p w14:paraId="0747DCEC" w14:textId="77777777" w:rsidR="00CD27AC" w:rsidRPr="00254174" w:rsidRDefault="00CD27AC" w:rsidP="00851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4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2693" w:type="dxa"/>
          </w:tcPr>
          <w:p w14:paraId="6AF309CC" w14:textId="77777777" w:rsidR="00CD27AC" w:rsidRPr="00254174" w:rsidRDefault="00CD27AC" w:rsidP="00851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4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14:paraId="08CBBC91" w14:textId="77777777" w:rsidR="00CD27AC" w:rsidRPr="00254174" w:rsidRDefault="00CD27AC" w:rsidP="00851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4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CD27AC" w:rsidRPr="00254174" w14:paraId="30189DBB" w14:textId="77777777" w:rsidTr="008517F2">
        <w:trPr>
          <w:jc w:val="center"/>
        </w:trPr>
        <w:tc>
          <w:tcPr>
            <w:tcW w:w="555" w:type="dxa"/>
          </w:tcPr>
          <w:p w14:paraId="285ABF76" w14:textId="77777777" w:rsidR="00CD27AC" w:rsidRPr="00254174" w:rsidRDefault="00CD27AC" w:rsidP="00851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984" w:type="dxa"/>
          </w:tcPr>
          <w:p w14:paraId="3C6FEB8F" w14:textId="77777777" w:rsidR="00CD27AC" w:rsidRPr="00254174" w:rsidRDefault="00CD27AC" w:rsidP="00851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4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2693" w:type="dxa"/>
          </w:tcPr>
          <w:p w14:paraId="2CAC90B0" w14:textId="77777777" w:rsidR="00CD27AC" w:rsidRPr="00254174" w:rsidRDefault="00CD27AC" w:rsidP="00851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4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2268" w:type="dxa"/>
          </w:tcPr>
          <w:p w14:paraId="73376B34" w14:textId="77777777" w:rsidR="00CD27AC" w:rsidRPr="00254174" w:rsidRDefault="00CD27AC" w:rsidP="00851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4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</w:tbl>
    <w:p w14:paraId="3B67E1E1" w14:textId="77777777" w:rsidR="00CD27AC" w:rsidRPr="00254174" w:rsidRDefault="00CD27AC" w:rsidP="00CD27AC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14:paraId="1B515181" w14:textId="77777777" w:rsidR="00CD27AC" w:rsidRPr="00254174" w:rsidRDefault="00CD27AC" w:rsidP="00CD27A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t>Розділ 2. Визначення мети Програми</w:t>
      </w:r>
    </w:p>
    <w:p w14:paraId="19B07065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D4A4D1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t>Мета Програми полягає у реалізації заходів щодо підвищення ефективності функціонування систем очищення води та безперебійного забезпечення населення Миколаївської міської територіальної громади очищеною водою.</w:t>
      </w:r>
    </w:p>
    <w:p w14:paraId="18C39C67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53D0EB" w14:textId="77777777" w:rsidR="00CD27AC" w:rsidRPr="00254174" w:rsidRDefault="00CD27AC" w:rsidP="00CD27A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t>Розділ 3. Обґрунтування шляхів і засобів розв’язання проблеми</w:t>
      </w:r>
    </w:p>
    <w:p w14:paraId="6182955F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A93AB8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t>Основними завданнями Програми є:</w:t>
      </w:r>
    </w:p>
    <w:p w14:paraId="1C3EA38D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t>- приведення до нормативних вимог місць видачі очищеної води;</w:t>
      </w:r>
    </w:p>
    <w:p w14:paraId="2A15119F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t>- забезпечення населення Миколаївської міської територіальної громади очищеною водою шляхом обслуговування попередньо встановлених систем очищення води;</w:t>
      </w:r>
    </w:p>
    <w:p w14:paraId="0551B97D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t>- стимулювання інноваційної активності комунальних підприємств;</w:t>
      </w:r>
    </w:p>
    <w:p w14:paraId="2B4590C8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t>- створення дієвого механізму контролю за якістю води для споживачів;</w:t>
      </w:r>
    </w:p>
    <w:p w14:paraId="26D00E1E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t>- створення умов для надійного, безпечного та безперебійного отримання води споживачами.</w:t>
      </w:r>
    </w:p>
    <w:p w14:paraId="16BA56FD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t>Шляхи розв’язання проблем передбачають наступне:</w:t>
      </w:r>
    </w:p>
    <w:p w14:paraId="05A7E355" w14:textId="172E298C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lastRenderedPageBreak/>
        <w:t xml:space="preserve">- проведення роботи з виконання ремонту та модернізації елементів систем очищення води, </w:t>
      </w:r>
      <w:r w:rsidR="009521B2">
        <w:rPr>
          <w:rFonts w:ascii="Times New Roman" w:hAnsi="Times New Roman" w:cs="Times New Roman"/>
          <w:sz w:val="28"/>
          <w:szCs w:val="28"/>
        </w:rPr>
        <w:t xml:space="preserve">зокрема </w:t>
      </w:r>
      <w:r w:rsidRPr="00254174">
        <w:rPr>
          <w:rFonts w:ascii="Times New Roman" w:hAnsi="Times New Roman" w:cs="Times New Roman"/>
          <w:sz w:val="28"/>
          <w:szCs w:val="28"/>
        </w:rPr>
        <w:t>свердловин, до яких вони підключені, на постійній основі;</w:t>
      </w:r>
    </w:p>
    <w:p w14:paraId="14C8E8EE" w14:textId="4DFBE248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t xml:space="preserve">- забезпечення обслуговування та утримання системи очищення води, </w:t>
      </w:r>
      <w:r w:rsidR="009521B2">
        <w:rPr>
          <w:rFonts w:ascii="Times New Roman" w:hAnsi="Times New Roman" w:cs="Times New Roman"/>
          <w:sz w:val="28"/>
          <w:szCs w:val="28"/>
        </w:rPr>
        <w:t>зокрема</w:t>
      </w:r>
      <w:r w:rsidRPr="00254174">
        <w:rPr>
          <w:rFonts w:ascii="Times New Roman" w:hAnsi="Times New Roman" w:cs="Times New Roman"/>
          <w:sz w:val="28"/>
          <w:szCs w:val="28"/>
        </w:rPr>
        <w:t xml:space="preserve"> свердловин, до яких вони підключені, на постійній основі;</w:t>
      </w:r>
    </w:p>
    <w:p w14:paraId="7A9CBD03" w14:textId="14638F89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t>- забезпечення виділення коштів міського бюджету (інших джерел, не заборонених законо</w:t>
      </w:r>
      <w:r w:rsidR="009521B2">
        <w:rPr>
          <w:rFonts w:ascii="Times New Roman" w:hAnsi="Times New Roman" w:cs="Times New Roman"/>
          <w:sz w:val="28"/>
          <w:szCs w:val="28"/>
        </w:rPr>
        <w:t>давством</w:t>
      </w:r>
      <w:r w:rsidRPr="00254174">
        <w:rPr>
          <w:rFonts w:ascii="Times New Roman" w:hAnsi="Times New Roman" w:cs="Times New Roman"/>
          <w:sz w:val="28"/>
          <w:szCs w:val="28"/>
        </w:rPr>
        <w:t xml:space="preserve">) на оплату послуг з технічного обслуговування, обслуговування та утримання установок з доочистки води (систем очищення води, </w:t>
      </w:r>
      <w:r w:rsidR="009521B2">
        <w:rPr>
          <w:rFonts w:ascii="Times New Roman" w:hAnsi="Times New Roman" w:cs="Times New Roman"/>
          <w:sz w:val="28"/>
          <w:szCs w:val="28"/>
        </w:rPr>
        <w:t>зокрема</w:t>
      </w:r>
      <w:r w:rsidRPr="00254174">
        <w:rPr>
          <w:rFonts w:ascii="Times New Roman" w:hAnsi="Times New Roman" w:cs="Times New Roman"/>
          <w:sz w:val="28"/>
          <w:szCs w:val="28"/>
        </w:rPr>
        <w:t xml:space="preserve"> свердловин, до яких вони підключені,) балансоутримувачам.</w:t>
      </w:r>
    </w:p>
    <w:p w14:paraId="6A0C1206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t>Правила обслуговування та утримання систем очищення води зворотного осмосу, реалізації її видачі затверджується рішенням виконавчого комітету Миколаївської міської ради.</w:t>
      </w:r>
    </w:p>
    <w:p w14:paraId="6C1C6CC8" w14:textId="77777777" w:rsidR="00CD27AC" w:rsidRPr="00254174" w:rsidRDefault="00CD27AC" w:rsidP="00CD27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86377C" w14:textId="77777777" w:rsidR="00CD27AC" w:rsidRPr="00254174" w:rsidRDefault="00CD27AC" w:rsidP="00CD2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t>Розділ 4. Очікувані результати виконання Програми</w:t>
      </w:r>
    </w:p>
    <w:p w14:paraId="4D0B4937" w14:textId="77777777" w:rsidR="00CD27AC" w:rsidRPr="00254174" w:rsidRDefault="00CD27AC" w:rsidP="00CD2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04B386" w14:textId="493C7458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t>Результатами виконання Програми є забезпечення населення Миколаївської міської територіальної громади</w:t>
      </w:r>
      <w:r w:rsidR="009521B2" w:rsidRPr="009521B2">
        <w:rPr>
          <w:rFonts w:ascii="Times New Roman" w:hAnsi="Times New Roman" w:cs="Times New Roman"/>
          <w:sz w:val="28"/>
          <w:szCs w:val="28"/>
        </w:rPr>
        <w:t xml:space="preserve"> безперебійною та автономною </w:t>
      </w:r>
      <w:proofErr w:type="spellStart"/>
      <w:r w:rsidR="009521B2" w:rsidRPr="009521B2">
        <w:rPr>
          <w:rFonts w:ascii="Times New Roman" w:hAnsi="Times New Roman" w:cs="Times New Roman"/>
          <w:sz w:val="28"/>
          <w:szCs w:val="28"/>
        </w:rPr>
        <w:t>видачею</w:t>
      </w:r>
      <w:proofErr w:type="spellEnd"/>
      <w:r w:rsidR="009521B2" w:rsidRPr="009521B2">
        <w:rPr>
          <w:rFonts w:ascii="Times New Roman" w:hAnsi="Times New Roman" w:cs="Times New Roman"/>
          <w:sz w:val="28"/>
          <w:szCs w:val="28"/>
        </w:rPr>
        <w:t xml:space="preserve"> очищеної води</w:t>
      </w:r>
      <w:r w:rsidR="009521B2">
        <w:rPr>
          <w:rFonts w:ascii="Times New Roman" w:hAnsi="Times New Roman" w:cs="Times New Roman"/>
          <w:sz w:val="28"/>
          <w:szCs w:val="28"/>
        </w:rPr>
        <w:t xml:space="preserve"> </w:t>
      </w:r>
      <w:r w:rsidRPr="00254174">
        <w:rPr>
          <w:rFonts w:ascii="Times New Roman" w:hAnsi="Times New Roman" w:cs="Times New Roman"/>
          <w:sz w:val="28"/>
          <w:szCs w:val="28"/>
        </w:rPr>
        <w:t>.</w:t>
      </w:r>
    </w:p>
    <w:p w14:paraId="6067EEC6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t>Результативні показники виконання Програми наведено у додатку 3 до Програми.</w:t>
      </w:r>
    </w:p>
    <w:p w14:paraId="0E400CA2" w14:textId="77777777" w:rsidR="00CD27AC" w:rsidRPr="00254174" w:rsidRDefault="00CD27AC" w:rsidP="00CD2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314924" w14:textId="77777777" w:rsidR="00CD27AC" w:rsidRPr="00254174" w:rsidRDefault="00CD27AC" w:rsidP="00CD2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t>Розділ 5. Фінансове забезпечення Програми</w:t>
      </w:r>
    </w:p>
    <w:p w14:paraId="5FCFBCF2" w14:textId="77777777" w:rsidR="00CD27AC" w:rsidRPr="00254174" w:rsidRDefault="00CD27AC" w:rsidP="00CD2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908C12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t>Фінансування заходів Програми в процесі їх реалізації здійснюється за рахунок коштів міського бюджету (у межах коштів, передбачених на відповідний бюджетний рік) та не заборонених законодавством позабюджетних коштів.</w:t>
      </w:r>
    </w:p>
    <w:p w14:paraId="275A678E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t>Конкретний обсяг фінансування заходів Програми за рахунок коштів міського бюджету затверджується щорічно міською радою в складі видатків міського бюджету. Обсяг бюджетних коштів визначається щороку, виходячи з фінансової можливості бюджету. Обсяги фінансування завдань та заходів зазначені у додатку 2.</w:t>
      </w:r>
    </w:p>
    <w:p w14:paraId="52438455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t>Надання та використання коштів, затверджених в кошторисі головного розпорядника, здійснюється згідно з чинним законодавством.</w:t>
      </w:r>
    </w:p>
    <w:p w14:paraId="0338913E" w14:textId="77777777" w:rsidR="00CD27AC" w:rsidRPr="00254174" w:rsidRDefault="00CD27AC" w:rsidP="00CD2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289B44" w14:textId="77777777" w:rsidR="00CD27AC" w:rsidRPr="00254174" w:rsidRDefault="00CD27AC" w:rsidP="00CD2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t>Розділ 6. Координація та контроль за ходом виконання Програми</w:t>
      </w:r>
    </w:p>
    <w:p w14:paraId="2CD94BD6" w14:textId="77777777" w:rsidR="00CD27AC" w:rsidRPr="00254174" w:rsidRDefault="00CD27AC" w:rsidP="00CD2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3F09D7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t>Координацію дій між виконавцями Програми та контроль за її виконанням здійснює департамент житлово-комунального господарства Миколаївської міської ради.</w:t>
      </w:r>
    </w:p>
    <w:p w14:paraId="38694051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t>Співвиконавці Програми по завершенні строку дії Програми до 20 січня надають до департаменту житлово-комунального господарства Миколаївської міської ради інформацію про виконання заходів Програми за рік, що минув.</w:t>
      </w:r>
    </w:p>
    <w:p w14:paraId="38D53AA5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t xml:space="preserve">Департамент житлово-комунального господарства Миколаївської міської ради до 10 лютого надає узагальнену інформацію про хід виконання Програми постійним комісіям міської ради: з питань житлово-комунального господарства, </w:t>
      </w:r>
      <w:r w:rsidRPr="00254174">
        <w:rPr>
          <w:rFonts w:ascii="Times New Roman" w:hAnsi="Times New Roman" w:cs="Times New Roman"/>
          <w:sz w:val="28"/>
          <w:szCs w:val="28"/>
        </w:rPr>
        <w:lastRenderedPageBreak/>
        <w:t>комунальної власності, благоустрою міста, промисловості, транспорту, енергозбереження, зв’язку, інформаційних технологій та діджиталізації,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коштів.</w:t>
      </w:r>
    </w:p>
    <w:p w14:paraId="67378FE6" w14:textId="77777777" w:rsidR="00CD27AC" w:rsidRPr="00254174" w:rsidRDefault="00CD27AC" w:rsidP="00CD27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986117" w14:textId="77777777" w:rsidR="00CD27AC" w:rsidRPr="00254174" w:rsidRDefault="00CD27AC" w:rsidP="00CD27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t>Розділ 7. Додатки до Програми</w:t>
      </w:r>
    </w:p>
    <w:p w14:paraId="45D196D5" w14:textId="77777777" w:rsidR="00CD27AC" w:rsidRPr="00254174" w:rsidRDefault="00CD27AC" w:rsidP="00CD27AC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14:paraId="14943D4D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t>Додаток 1. Паспорт Програми</w:t>
      </w:r>
    </w:p>
    <w:p w14:paraId="1600773C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t>Додаток 2. Перелік завдань та заходів Програми</w:t>
      </w:r>
    </w:p>
    <w:p w14:paraId="2AEAFE7B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t>Додаток 3. Результативні показники виконання Програми</w:t>
      </w:r>
    </w:p>
    <w:p w14:paraId="14318BAE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C84144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5C7CAA3D" w14:textId="77777777" w:rsidR="00CD27AC" w:rsidRPr="00254174" w:rsidRDefault="00CD27AC" w:rsidP="00CD27AC">
      <w:pPr>
        <w:spacing w:after="0" w:line="240" w:lineRule="auto"/>
        <w:ind w:firstLine="567"/>
        <w:jc w:val="both"/>
      </w:pPr>
      <w:r w:rsidRPr="00254174">
        <w:rPr>
          <w:rFonts w:ascii="Times New Roman" w:hAnsi="Times New Roman" w:cs="Times New Roman"/>
          <w:sz w:val="28"/>
          <w:szCs w:val="28"/>
        </w:rPr>
        <w:br w:type="page"/>
      </w:r>
    </w:p>
    <w:p w14:paraId="359BCC83" w14:textId="77777777" w:rsidR="00CD27AC" w:rsidRPr="00254174" w:rsidRDefault="00CD27AC" w:rsidP="00CD27AC">
      <w:pPr>
        <w:shd w:val="clear" w:color="auto" w:fill="FFFFFF"/>
        <w:spacing w:after="0" w:line="240" w:lineRule="auto"/>
        <w:ind w:left="77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5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Додаток 1</w:t>
      </w:r>
    </w:p>
    <w:p w14:paraId="35019C13" w14:textId="77777777" w:rsidR="00CD27AC" w:rsidRPr="00254174" w:rsidRDefault="00CD27AC" w:rsidP="00CD27AC">
      <w:pPr>
        <w:shd w:val="clear" w:color="auto" w:fill="FFFFFF"/>
        <w:spacing w:after="0" w:line="240" w:lineRule="auto"/>
        <w:ind w:left="77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5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 Програми</w:t>
      </w:r>
    </w:p>
    <w:p w14:paraId="19CD609E" w14:textId="77777777" w:rsidR="00CD27AC" w:rsidRPr="00254174" w:rsidRDefault="00CD27AC" w:rsidP="00CD27AC">
      <w:pPr>
        <w:shd w:val="clear" w:color="auto" w:fill="FFFFFF"/>
        <w:spacing w:after="0" w:line="240" w:lineRule="auto"/>
        <w:ind w:left="77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77004D76" w14:textId="77777777" w:rsidR="00CD27AC" w:rsidRPr="00254174" w:rsidRDefault="00CD27AC" w:rsidP="00CD2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54174">
        <w:rPr>
          <w:rFonts w:ascii="Times New Roman" w:eastAsia="Times New Roman" w:hAnsi="Times New Roman" w:cs="Times New Roman"/>
          <w:color w:val="000000" w:themeColor="text1"/>
          <w:spacing w:val="56"/>
          <w:sz w:val="28"/>
          <w:szCs w:val="28"/>
          <w:lang w:eastAsia="uk-UA"/>
        </w:rPr>
        <w:t>ПАСПОРТ</w:t>
      </w:r>
    </w:p>
    <w:p w14:paraId="61A88D52" w14:textId="77777777" w:rsidR="00CD27AC" w:rsidRPr="00254174" w:rsidRDefault="00CD27AC" w:rsidP="00CD2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5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Програми «Доступна вода» на 2024 рік</w:t>
      </w:r>
    </w:p>
    <w:p w14:paraId="1A425A88" w14:textId="77777777" w:rsidR="00CD27AC" w:rsidRPr="00254174" w:rsidRDefault="00CD27AC" w:rsidP="00C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7E97E1C7" w14:textId="77777777" w:rsidR="00CD27AC" w:rsidRPr="00254174" w:rsidRDefault="00CD27AC" w:rsidP="00CD27A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5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1.Програму затверджено рішенням міської ради від ___________ № _____.</w:t>
      </w:r>
    </w:p>
    <w:p w14:paraId="23BD8F59" w14:textId="77777777" w:rsidR="00CD27AC" w:rsidRPr="00254174" w:rsidRDefault="00CD27AC" w:rsidP="00CD27A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3A310D25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5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2. Ініціатор Програми: департамент житлово-комунального господарства Миколаївської міської ради.</w:t>
      </w:r>
    </w:p>
    <w:p w14:paraId="06D206AF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42570A91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5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3. Розробник Програми: департамент житлово-комунального господарства Миколаївської міської ради.</w:t>
      </w:r>
    </w:p>
    <w:p w14:paraId="203D2FD9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66616322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5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4</w:t>
      </w:r>
      <w:r w:rsidRPr="0025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 Відповідальний виконавець: департамент житлово-комунального господарства Миколаївської міської ради.</w:t>
      </w:r>
    </w:p>
    <w:p w14:paraId="4124FE3F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433A8A22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5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5. Співвиконавці: </w:t>
      </w:r>
    </w:p>
    <w:p w14:paraId="37D20CA0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5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5.1. ОКП «</w:t>
      </w:r>
      <w:proofErr w:type="spellStart"/>
      <w:r w:rsidRPr="0025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Миколаївоблтеплоенерго</w:t>
      </w:r>
      <w:proofErr w:type="spellEnd"/>
      <w:r w:rsidRPr="0025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».</w:t>
      </w:r>
    </w:p>
    <w:p w14:paraId="103B1A8A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5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5.2. Комунальне підприємство Миколаївської міської ради «ДЄЗ «Пілот».</w:t>
      </w:r>
    </w:p>
    <w:p w14:paraId="4675CD64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5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5.3. Управління охорони здоров’я Миколаївської міської ради.</w:t>
      </w:r>
    </w:p>
    <w:p w14:paraId="30554414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5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5.4. Адміністрації районів Миколаївської міської ради.</w:t>
      </w:r>
    </w:p>
    <w:p w14:paraId="5221896F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5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5.5. РЕЛІГІЙНА ГРОМАДА ЄВАНГЕЛЬСЬКИХ ХРИСТИЯН-БАПТИСТІВ «ПРИМИРЕННЯ З БОГОМ».</w:t>
      </w:r>
    </w:p>
    <w:p w14:paraId="6BA23CD1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5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5.6. Релігійна громада </w:t>
      </w:r>
      <w:proofErr w:type="spellStart"/>
      <w:r w:rsidRPr="0025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євангелійських</w:t>
      </w:r>
      <w:proofErr w:type="spellEnd"/>
      <w:r w:rsidRPr="0025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християн-баптистів.</w:t>
      </w:r>
    </w:p>
    <w:p w14:paraId="4A04016E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5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5.7. НЕЗАЛЕЖНА РЕЛІГІЙНА ГРОМАДА ЄВАНГЕЛЬСЬКИХ ХРИСТИЯН БАПТИСТІВ «ЦЕРКВА ВІДРОДЖЕННЯ».</w:t>
      </w:r>
    </w:p>
    <w:p w14:paraId="16B7BB32" w14:textId="1DF287DD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5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5.8. Релігійна організація церкви адвентистів сьомого дня у м.</w:t>
      </w:r>
      <w:r w:rsidR="00164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r w:rsidRPr="0025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Миколаїв</w:t>
      </w:r>
      <w:r w:rsidR="00164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r w:rsidRPr="0025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№ 6.</w:t>
      </w:r>
    </w:p>
    <w:p w14:paraId="219525AA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5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5.9. Незалежна помісна церква євангельських християн «Любов Христова».</w:t>
      </w:r>
    </w:p>
    <w:p w14:paraId="71D29C95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5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5.10. РЕЛІГІЙНА ГРОМАДА ПЕРШОЇ ЦЕРКВИ ХРИСТИЯН ВІРИ ЄВАНГЕЛЬСЬКОЇ В МІСТІ МИКОЛАЄВІ.</w:t>
      </w:r>
    </w:p>
    <w:p w14:paraId="37CDF851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5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5.11. Незалежна церква християн віри євангельської «Віфанія».</w:t>
      </w:r>
    </w:p>
    <w:p w14:paraId="73BBFC63" w14:textId="04F079E5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5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5.12. РЕЛІГІЙНА ГРОМАДА ПРЕСВІТЕРІАНСЬКОЇ ЦЕРКВИ УКРАЇНИ, ЦЕРКВА ІСУСА ХРИСТА У МІСТІ МИКОЛАЄВІ МИКОЛАЇВСЬКОЇ ОБЛ.</w:t>
      </w:r>
    </w:p>
    <w:p w14:paraId="0DCE4E51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5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5.13. ЦЕРКВА ХРИСТИЯН ВІРИ ЄВАНГЕЛЬСЬКОЇ БЛАГОДАТЬ.</w:t>
      </w:r>
    </w:p>
    <w:p w14:paraId="3E9F1FB7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5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5.14. БЛАГОДІЙНИЙ ФОНД «ХРИСТИЯНСЬКИЙ КОВЧЕГ СПАСІННЯ»</w:t>
      </w:r>
    </w:p>
    <w:p w14:paraId="79908259" w14:textId="12E32B65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5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5.15. РЕЛІГІЙНА ГРОМАДА ЦЕРКВИ ЕВАНГЕЛЬСЬКИХ ХРИСТИЯН- БАПТИСТІВ «ДІМ МОЛИТВИ ДЛЯ ВСІХ», В М.</w:t>
      </w:r>
      <w:r w:rsidR="00164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r w:rsidRPr="0025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МИКОЛАЄВІ МИКОЛАЇВСЬКОЇ ОБЛАСТІ.</w:t>
      </w:r>
    </w:p>
    <w:p w14:paraId="37E58C7D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5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5.16. РЕЛІГІЙНА ОРГАНІЗАЦІЯ «РЕЛІГІЙНА ГРОМАДА ХРАМУ СВВ.ПРАВВ.ЗАХАРІЇ І ЄЛИСАВЕТИ РАППП.КОНСТЯНТИНА ТА ОЛЕНИ.БЛГВ.КН. ОЛЕКСАНДРА НЕВСЬКОГО МИКОЛАЇВСЬКОЇ ЄПАРХІЇ УКРАЇНСЬКОЇ ПРАВОСЛАВНОЇ ЦЕРКВИ (ПРАВОСЛАВНОЇ ЦЕРКВИ УКРАЇНИ) М.МИКОЛАЇВ МИКОЛАЇВСЬКОЇ ОБЛАСТІ.</w:t>
      </w:r>
    </w:p>
    <w:p w14:paraId="7C4B707F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174">
        <w:rPr>
          <w:rFonts w:ascii="Times New Roman" w:hAnsi="Times New Roman" w:cs="Times New Roman"/>
          <w:sz w:val="28"/>
          <w:szCs w:val="28"/>
        </w:rPr>
        <w:lastRenderedPageBreak/>
        <w:t>5.17. </w:t>
      </w:r>
      <w:r w:rsidRPr="00254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 </w:t>
      </w:r>
      <w:r w:rsidRPr="00254174">
        <w:rPr>
          <w:rFonts w:ascii="Times New Roman" w:hAnsi="Times New Roman" w:cs="Times New Roman"/>
          <w:sz w:val="28"/>
          <w:szCs w:val="28"/>
        </w:rPr>
        <w:t>Миколаївський зоопарк.</w:t>
      </w:r>
    </w:p>
    <w:p w14:paraId="7527B736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0FAC9538" w14:textId="77777777" w:rsidR="00CD27AC" w:rsidRPr="00254174" w:rsidRDefault="00CD27AC" w:rsidP="00CD27A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5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6. Термін дії Програми: 2024 рік.</w:t>
      </w:r>
    </w:p>
    <w:p w14:paraId="6AE54FE5" w14:textId="77777777" w:rsidR="00CD27AC" w:rsidRPr="00254174" w:rsidRDefault="00CD27AC" w:rsidP="00CD27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7A36FA20" w14:textId="77777777" w:rsidR="00CD27AC" w:rsidRPr="00254174" w:rsidRDefault="00CD27AC" w:rsidP="00CD2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5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7. Обсяги фінансування: </w:t>
      </w:r>
      <w:r w:rsidRPr="00254174">
        <w:rPr>
          <w:rFonts w:ascii="Times New Roman" w:hAnsi="Times New Roman" w:cs="Times New Roman"/>
          <w:color w:val="000000" w:themeColor="text1"/>
          <w:sz w:val="28"/>
          <w:szCs w:val="28"/>
        </w:rPr>
        <w:t>64 148,0тис.</w:t>
      </w:r>
      <w:r w:rsidRPr="0025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грн (за рахунок коштів бюджету Миколаївської міської територіальної громади)*</w:t>
      </w:r>
    </w:p>
    <w:p w14:paraId="2A269A3B" w14:textId="77777777" w:rsidR="00CD27AC" w:rsidRPr="00254174" w:rsidRDefault="00CD27AC" w:rsidP="00CD2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092"/>
        <w:gridCol w:w="1846"/>
        <w:gridCol w:w="4582"/>
      </w:tblGrid>
      <w:tr w:rsidR="00CD27AC" w:rsidRPr="00254174" w14:paraId="5CFF6344" w14:textId="77777777" w:rsidTr="008517F2">
        <w:tc>
          <w:tcPr>
            <w:tcW w:w="3119" w:type="dxa"/>
            <w:vMerge w:val="restart"/>
            <w:vAlign w:val="center"/>
          </w:tcPr>
          <w:p w14:paraId="25F7A5F9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54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Всього по Програмі</w:t>
            </w:r>
          </w:p>
        </w:tc>
        <w:tc>
          <w:tcPr>
            <w:tcW w:w="1871" w:type="dxa"/>
            <w:vMerge w:val="restart"/>
            <w:vAlign w:val="center"/>
          </w:tcPr>
          <w:p w14:paraId="28A70173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54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2024</w:t>
            </w:r>
          </w:p>
        </w:tc>
        <w:tc>
          <w:tcPr>
            <w:tcW w:w="4649" w:type="dxa"/>
            <w:vAlign w:val="center"/>
          </w:tcPr>
          <w:p w14:paraId="29EF50E6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54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Фінансування за роками, тис. грн</w:t>
            </w:r>
          </w:p>
        </w:tc>
      </w:tr>
      <w:tr w:rsidR="00CD27AC" w:rsidRPr="00254174" w14:paraId="49D77D61" w14:textId="77777777" w:rsidTr="008517F2">
        <w:tc>
          <w:tcPr>
            <w:tcW w:w="3119" w:type="dxa"/>
            <w:vMerge/>
          </w:tcPr>
          <w:p w14:paraId="4C900E21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71" w:type="dxa"/>
            <w:vMerge/>
          </w:tcPr>
          <w:p w14:paraId="4D7AED71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649" w:type="dxa"/>
            <w:vAlign w:val="center"/>
          </w:tcPr>
          <w:p w14:paraId="7FF3DFA3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54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2024</w:t>
            </w:r>
          </w:p>
        </w:tc>
      </w:tr>
      <w:tr w:rsidR="00CD27AC" w:rsidRPr="00254174" w14:paraId="5D096DA1" w14:textId="77777777" w:rsidTr="008517F2">
        <w:tc>
          <w:tcPr>
            <w:tcW w:w="3119" w:type="dxa"/>
          </w:tcPr>
          <w:p w14:paraId="6AF1D42B" w14:textId="77777777" w:rsidR="00CD27AC" w:rsidRPr="00254174" w:rsidRDefault="00CD27AC" w:rsidP="008517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54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Всього, у </w:t>
            </w:r>
            <w:proofErr w:type="spellStart"/>
            <w:r w:rsidRPr="00254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т.ч</w:t>
            </w:r>
            <w:proofErr w:type="spellEnd"/>
            <w:r w:rsidRPr="00254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871" w:type="dxa"/>
          </w:tcPr>
          <w:p w14:paraId="5A655EF8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54174">
              <w:rPr>
                <w:rFonts w:ascii="Times New Roman" w:hAnsi="Times New Roman" w:cs="Times New Roman"/>
                <w:sz w:val="28"/>
                <w:szCs w:val="28"/>
              </w:rPr>
              <w:t>64 148,0</w:t>
            </w:r>
          </w:p>
        </w:tc>
        <w:tc>
          <w:tcPr>
            <w:tcW w:w="4649" w:type="dxa"/>
          </w:tcPr>
          <w:p w14:paraId="7DF938EA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54174">
              <w:rPr>
                <w:rFonts w:ascii="Times New Roman" w:hAnsi="Times New Roman" w:cs="Times New Roman"/>
                <w:sz w:val="28"/>
                <w:szCs w:val="28"/>
              </w:rPr>
              <w:t>64 148,0</w:t>
            </w:r>
          </w:p>
        </w:tc>
      </w:tr>
      <w:tr w:rsidR="00CD27AC" w:rsidRPr="00254174" w14:paraId="3DC230F6" w14:textId="77777777" w:rsidTr="008517F2">
        <w:tc>
          <w:tcPr>
            <w:tcW w:w="3119" w:type="dxa"/>
          </w:tcPr>
          <w:p w14:paraId="4DBFA6CF" w14:textId="77777777" w:rsidR="00CD27AC" w:rsidRPr="00254174" w:rsidRDefault="00CD27AC" w:rsidP="008517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54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Бюджет Миколаївської міської територіальної громади</w:t>
            </w:r>
          </w:p>
        </w:tc>
        <w:tc>
          <w:tcPr>
            <w:tcW w:w="1871" w:type="dxa"/>
          </w:tcPr>
          <w:p w14:paraId="4C6F2D90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54174">
              <w:rPr>
                <w:rFonts w:ascii="Times New Roman" w:hAnsi="Times New Roman" w:cs="Times New Roman"/>
                <w:sz w:val="28"/>
                <w:szCs w:val="28"/>
              </w:rPr>
              <w:t>64 148,0</w:t>
            </w:r>
          </w:p>
        </w:tc>
        <w:tc>
          <w:tcPr>
            <w:tcW w:w="4649" w:type="dxa"/>
          </w:tcPr>
          <w:p w14:paraId="6033C966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54174">
              <w:rPr>
                <w:rFonts w:ascii="Times New Roman" w:hAnsi="Times New Roman" w:cs="Times New Roman"/>
                <w:sz w:val="28"/>
                <w:szCs w:val="28"/>
              </w:rPr>
              <w:t>64 148,0</w:t>
            </w:r>
          </w:p>
        </w:tc>
      </w:tr>
      <w:tr w:rsidR="00CD27AC" w:rsidRPr="00254174" w14:paraId="3309CF4E" w14:textId="77777777" w:rsidTr="008517F2">
        <w:tc>
          <w:tcPr>
            <w:tcW w:w="3119" w:type="dxa"/>
          </w:tcPr>
          <w:p w14:paraId="5DDD1E37" w14:textId="77777777" w:rsidR="00CD27AC" w:rsidRPr="00254174" w:rsidRDefault="00CD27AC" w:rsidP="008517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54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Інші джерела фінансування</w:t>
            </w:r>
          </w:p>
        </w:tc>
        <w:tc>
          <w:tcPr>
            <w:tcW w:w="1871" w:type="dxa"/>
          </w:tcPr>
          <w:p w14:paraId="06DCFD73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54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649" w:type="dxa"/>
          </w:tcPr>
          <w:p w14:paraId="66F3D39B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54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</w:tbl>
    <w:p w14:paraId="1A62AFB1" w14:textId="77777777" w:rsidR="00CD27AC" w:rsidRPr="00254174" w:rsidRDefault="00CD27AC" w:rsidP="00C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</w:p>
    <w:p w14:paraId="56FAD04C" w14:textId="77777777" w:rsidR="00CD27AC" w:rsidRDefault="00CD27AC" w:rsidP="00CD2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254174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*Конкретні обсяги фінансування Програми за рахунок коштів </w:t>
      </w:r>
      <w:r w:rsidRPr="00254174">
        <w:rPr>
          <w:rFonts w:ascii="Times New Roman" w:eastAsia="Times New Roman" w:hAnsi="Times New Roman" w:cs="Times New Roman"/>
          <w:color w:val="303030"/>
          <w:lang w:eastAsia="uk-UA"/>
        </w:rPr>
        <w:t xml:space="preserve">бюджету </w:t>
      </w:r>
      <w:r w:rsidRPr="00254174">
        <w:rPr>
          <w:rFonts w:ascii="Times New Roman" w:eastAsia="Times New Roman" w:hAnsi="Times New Roman" w:cs="Times New Roman"/>
          <w:color w:val="000000" w:themeColor="text1"/>
          <w:lang w:eastAsia="uk-UA"/>
        </w:rPr>
        <w:t>Миколаївської міської територіальної громади визначаються рішенням Миколаївської міської ради у межах бюджетних асигнувань.</w:t>
      </w:r>
    </w:p>
    <w:p w14:paraId="349FD4D9" w14:textId="77777777" w:rsidR="00164BE2" w:rsidRDefault="00164BE2" w:rsidP="00CD2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uk-UA"/>
        </w:rPr>
      </w:pPr>
    </w:p>
    <w:p w14:paraId="3216037D" w14:textId="7F9CA54B" w:rsidR="00164BE2" w:rsidRPr="00254174" w:rsidRDefault="00164BE2" w:rsidP="00CD2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lang w:eastAsia="uk-UA"/>
        </w:rPr>
        <w:t>_______________________________________________________________________________________</w:t>
      </w:r>
    </w:p>
    <w:p w14:paraId="6F15D9E2" w14:textId="77777777" w:rsidR="00CD27AC" w:rsidRPr="00254174" w:rsidRDefault="00CD27AC" w:rsidP="00CD27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5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 w:type="page"/>
      </w:r>
    </w:p>
    <w:p w14:paraId="3454B0FB" w14:textId="77777777" w:rsidR="00CD27AC" w:rsidRPr="00254174" w:rsidRDefault="00CD27AC" w:rsidP="00CD27AC">
      <w:pPr>
        <w:shd w:val="clear" w:color="auto" w:fill="FFFFFF"/>
        <w:spacing w:after="0" w:line="240" w:lineRule="auto"/>
        <w:ind w:left="77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5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Додаток 2</w:t>
      </w:r>
    </w:p>
    <w:p w14:paraId="30166D05" w14:textId="77777777" w:rsidR="00CD27AC" w:rsidRPr="00254174" w:rsidRDefault="00CD27AC" w:rsidP="00CD27AC">
      <w:pPr>
        <w:shd w:val="clear" w:color="auto" w:fill="FFFFFF"/>
        <w:spacing w:after="0" w:line="240" w:lineRule="auto"/>
        <w:ind w:left="77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5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 Програми</w:t>
      </w:r>
    </w:p>
    <w:p w14:paraId="67611881" w14:textId="77777777" w:rsidR="00CD27AC" w:rsidRPr="00254174" w:rsidRDefault="00CD27AC" w:rsidP="00CD27AC">
      <w:pPr>
        <w:shd w:val="clear" w:color="auto" w:fill="FFFFFF"/>
        <w:spacing w:after="0" w:line="240" w:lineRule="auto"/>
        <w:ind w:left="77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12F5F5D7" w14:textId="77777777" w:rsidR="00CD27AC" w:rsidRPr="00254174" w:rsidRDefault="00CD27AC" w:rsidP="00CD27AC">
      <w:pPr>
        <w:shd w:val="clear" w:color="auto" w:fill="FFFFFF"/>
        <w:spacing w:after="0" w:line="240" w:lineRule="auto"/>
        <w:ind w:left="77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00E4FEF1" w14:textId="77777777" w:rsidR="00CD27AC" w:rsidRPr="00254174" w:rsidRDefault="00CD27AC" w:rsidP="00C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6C15221D" w14:textId="77777777" w:rsidR="00CD27AC" w:rsidRPr="00254174" w:rsidRDefault="00CD27AC" w:rsidP="00CD2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5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Перелік завдань та </w:t>
      </w:r>
      <w:proofErr w:type="spellStart"/>
      <w:r w:rsidRPr="0025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заходівПрограми</w:t>
      </w:r>
      <w:proofErr w:type="spellEnd"/>
      <w:r w:rsidRPr="0025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«Доступна </w:t>
      </w:r>
      <w:proofErr w:type="spellStart"/>
      <w:r w:rsidRPr="0025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вода»на</w:t>
      </w:r>
      <w:proofErr w:type="spellEnd"/>
      <w:r w:rsidRPr="0025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2024 рік</w:t>
      </w:r>
    </w:p>
    <w:p w14:paraId="01CAA614" w14:textId="77777777" w:rsidR="00CD27AC" w:rsidRPr="00254174" w:rsidRDefault="00CD27AC" w:rsidP="00CD2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tbl>
      <w:tblPr>
        <w:tblStyle w:val="aa"/>
        <w:tblW w:w="9673" w:type="dxa"/>
        <w:jc w:val="center"/>
        <w:tblLayout w:type="fixed"/>
        <w:tblLook w:val="04A0" w:firstRow="1" w:lastRow="0" w:firstColumn="1" w:lastColumn="0" w:noHBand="0" w:noVBand="1"/>
      </w:tblPr>
      <w:tblGrid>
        <w:gridCol w:w="391"/>
        <w:gridCol w:w="1452"/>
        <w:gridCol w:w="1134"/>
        <w:gridCol w:w="2693"/>
        <w:gridCol w:w="1560"/>
        <w:gridCol w:w="992"/>
        <w:gridCol w:w="1451"/>
      </w:tblGrid>
      <w:tr w:rsidR="00CD27AC" w:rsidRPr="00254174" w14:paraId="203DDFFA" w14:textId="77777777" w:rsidTr="008517F2">
        <w:trPr>
          <w:jc w:val="center"/>
        </w:trPr>
        <w:tc>
          <w:tcPr>
            <w:tcW w:w="391" w:type="dxa"/>
            <w:vMerge w:val="restart"/>
            <w:vAlign w:val="center"/>
          </w:tcPr>
          <w:p w14:paraId="56520FBA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41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1452" w:type="dxa"/>
            <w:vMerge w:val="restart"/>
            <w:vAlign w:val="center"/>
          </w:tcPr>
          <w:p w14:paraId="253230D6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41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Перелік заходів Програми</w:t>
            </w:r>
          </w:p>
        </w:tc>
        <w:tc>
          <w:tcPr>
            <w:tcW w:w="1134" w:type="dxa"/>
            <w:vMerge w:val="restart"/>
            <w:vAlign w:val="center"/>
          </w:tcPr>
          <w:p w14:paraId="11883931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41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Термін виконання</w:t>
            </w:r>
          </w:p>
        </w:tc>
        <w:tc>
          <w:tcPr>
            <w:tcW w:w="2693" w:type="dxa"/>
            <w:vMerge w:val="restart"/>
            <w:vAlign w:val="center"/>
          </w:tcPr>
          <w:p w14:paraId="3206D02A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41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Виконавці</w:t>
            </w:r>
          </w:p>
        </w:tc>
        <w:tc>
          <w:tcPr>
            <w:tcW w:w="2552" w:type="dxa"/>
            <w:gridSpan w:val="2"/>
            <w:vAlign w:val="center"/>
          </w:tcPr>
          <w:p w14:paraId="4A6C9A0C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41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Фінансування</w:t>
            </w:r>
            <w:r w:rsidRPr="002541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*</w:t>
            </w:r>
            <w:r w:rsidRPr="002541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 роках, тис. грн</w:t>
            </w:r>
          </w:p>
        </w:tc>
        <w:tc>
          <w:tcPr>
            <w:tcW w:w="1451" w:type="dxa"/>
            <w:vAlign w:val="center"/>
          </w:tcPr>
          <w:p w14:paraId="435EA071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41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Очікуваний результат</w:t>
            </w:r>
          </w:p>
        </w:tc>
      </w:tr>
      <w:tr w:rsidR="00CD27AC" w:rsidRPr="00254174" w14:paraId="2AFCD19C" w14:textId="77777777" w:rsidTr="008517F2">
        <w:trPr>
          <w:jc w:val="center"/>
        </w:trPr>
        <w:tc>
          <w:tcPr>
            <w:tcW w:w="391" w:type="dxa"/>
            <w:vMerge/>
            <w:vAlign w:val="center"/>
          </w:tcPr>
          <w:p w14:paraId="00C633E5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52" w:type="dxa"/>
            <w:vMerge/>
            <w:vAlign w:val="center"/>
          </w:tcPr>
          <w:p w14:paraId="4EC182E6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  <w:vAlign w:val="center"/>
          </w:tcPr>
          <w:p w14:paraId="70C79FEC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vAlign w:val="center"/>
          </w:tcPr>
          <w:p w14:paraId="354F1B65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14:paraId="36DAB281" w14:textId="77777777" w:rsidR="00CD27AC" w:rsidRPr="00254174" w:rsidRDefault="00CD27AC" w:rsidP="008517F2">
            <w:pPr>
              <w:ind w:left="-145" w:righ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41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Всього по Програмі</w:t>
            </w:r>
          </w:p>
        </w:tc>
        <w:tc>
          <w:tcPr>
            <w:tcW w:w="992" w:type="dxa"/>
            <w:vAlign w:val="center"/>
          </w:tcPr>
          <w:p w14:paraId="7EFEDD45" w14:textId="77777777" w:rsidR="00CD27AC" w:rsidRPr="00254174" w:rsidRDefault="00CD27AC" w:rsidP="008517F2">
            <w:pPr>
              <w:ind w:left="-442" w:right="-4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41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1451" w:type="dxa"/>
            <w:vAlign w:val="center"/>
          </w:tcPr>
          <w:p w14:paraId="127B9B2D" w14:textId="77777777" w:rsidR="00CD27AC" w:rsidRPr="00254174" w:rsidRDefault="00CD27AC" w:rsidP="008517F2">
            <w:pPr>
              <w:ind w:left="-442" w:right="-4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D27AC" w:rsidRPr="00254174" w14:paraId="58710524" w14:textId="77777777" w:rsidTr="008517F2">
        <w:trPr>
          <w:jc w:val="center"/>
        </w:trPr>
        <w:tc>
          <w:tcPr>
            <w:tcW w:w="9673" w:type="dxa"/>
            <w:gridSpan w:val="7"/>
            <w:vAlign w:val="center"/>
          </w:tcPr>
          <w:p w14:paraId="4002135B" w14:textId="77777777" w:rsidR="00CD27AC" w:rsidRPr="00254174" w:rsidRDefault="00CD27AC" w:rsidP="008517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417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Забезпечення обслуговування, утримання та ремонт </w:t>
            </w:r>
            <w:r w:rsidRPr="00254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систем очищення води </w:t>
            </w:r>
          </w:p>
          <w:p w14:paraId="2AAD610D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254174">
              <w:rPr>
                <w:rFonts w:ascii="Times New Roman" w:hAnsi="Times New Roman" w:cs="Times New Roman"/>
                <w:bCs/>
                <w:sz w:val="20"/>
                <w:szCs w:val="20"/>
              </w:rPr>
              <w:t>на постійній основі</w:t>
            </w:r>
          </w:p>
        </w:tc>
      </w:tr>
      <w:tr w:rsidR="00CD27AC" w:rsidRPr="00254174" w14:paraId="2F279C4B" w14:textId="77777777" w:rsidTr="008517F2">
        <w:trPr>
          <w:jc w:val="center"/>
        </w:trPr>
        <w:tc>
          <w:tcPr>
            <w:tcW w:w="391" w:type="dxa"/>
            <w:vMerge w:val="restart"/>
          </w:tcPr>
          <w:p w14:paraId="02DF129E" w14:textId="79460AB6" w:rsidR="00CD27AC" w:rsidRPr="00254174" w:rsidRDefault="00CD27AC" w:rsidP="008517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41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3512B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452" w:type="dxa"/>
            <w:vMerge w:val="restart"/>
          </w:tcPr>
          <w:p w14:paraId="42D9F763" w14:textId="77777777" w:rsidR="00CD27AC" w:rsidRPr="00254174" w:rsidRDefault="00CD27AC" w:rsidP="008517F2">
            <w:pPr>
              <w:tabs>
                <w:tab w:val="left" w:pos="129"/>
              </w:tabs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41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Витрати на експлуатацію систем очищення води та ремонт, у </w:t>
            </w:r>
            <w:proofErr w:type="spellStart"/>
            <w:r w:rsidRPr="002541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т.ч</w:t>
            </w:r>
            <w:proofErr w:type="spellEnd"/>
            <w:r w:rsidRPr="002541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придбання  витратних матеріалів, запчастин та обладнання, ремонт свердловини</w:t>
            </w:r>
          </w:p>
        </w:tc>
        <w:tc>
          <w:tcPr>
            <w:tcW w:w="1134" w:type="dxa"/>
            <w:vMerge w:val="restart"/>
          </w:tcPr>
          <w:p w14:paraId="3EF46F74" w14:textId="77777777" w:rsidR="00CD27AC" w:rsidRPr="00254174" w:rsidRDefault="00CD27AC" w:rsidP="008517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41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2024 рік</w:t>
            </w:r>
          </w:p>
        </w:tc>
        <w:tc>
          <w:tcPr>
            <w:tcW w:w="2693" w:type="dxa"/>
            <w:vMerge w:val="restart"/>
          </w:tcPr>
          <w:p w14:paraId="4264817E" w14:textId="77777777" w:rsidR="00CD27AC" w:rsidRPr="00254174" w:rsidRDefault="00CD27AC" w:rsidP="008517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41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департамент житлово-комунального господарства Миколаївської міської ради, управління охорони здоров’я Миколаївської міської ради, ОКП «</w:t>
            </w:r>
            <w:proofErr w:type="spellStart"/>
            <w:r w:rsidRPr="002541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Миколаївоблтеплоенерго</w:t>
            </w:r>
            <w:proofErr w:type="spellEnd"/>
            <w:r w:rsidRPr="002541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», комунальне підприємство Миколаївської міської ради «ДЄЗ «Пілот»,</w:t>
            </w:r>
          </w:p>
          <w:p w14:paraId="24C89C23" w14:textId="25A975CC" w:rsidR="00CD27AC" w:rsidRPr="00254174" w:rsidRDefault="00CD27AC" w:rsidP="008517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41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адміністрації районів Миколаївської міської ради, РЕЛІГІЙНА ГРОМАДА ЄВАНГЕЛЬСЬКИХ ХРИСТИЯН-БАПТИСТІВ «ПРИМИРЕННЯ З БОГОМ», Релігійна громада </w:t>
            </w:r>
            <w:proofErr w:type="spellStart"/>
            <w:r w:rsidRPr="002541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євангелійських</w:t>
            </w:r>
            <w:proofErr w:type="spellEnd"/>
            <w:r w:rsidRPr="002541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християн-баптистів, НЕЗАЛЕЖНА РЕЛІГІЙНА ГРОМАДА ЄВАНГЕЛЬСЬКИХ ХРИСТИЯН БАПТИСТІВ «ЦЕРКВА ВІДРОДЖЕННЯ», Релігійна організація церкви адвентистів сьомого дня у м.</w:t>
            </w:r>
            <w:r w:rsidR="00164BE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Pr="002541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Миколаїв № 6, Незалежна помісна церква євангельських християн «Любов Христова», РЕЛІГІЙНА ГРОМАДА ПЕРШОЇ ЦЕРКВИ ХРИСТИЯН ВІРИ ЄВАНГЕЛЬСЬКОЇ В МІСТІ МИКОЛАЄВІ, Незалежна церква християн віри євангельської «Віфанія», РЕЛІГІЙНА ГРОМАДА ПРЕСВІТЕРІАНСЬКОЇ ЦЕРКВИ УКРАЇНИ, ЦЕРКВА ІСУСА ХРИСТА У МІСТІ МИКОЛАЄВІ, МИКОЛАЇВСЬКОЇ ОБЛ., ЦЕРКВА ХРИСТИЯН ВІРИ ЄВАНГЕЛЬСЬКОЇ БЛАГОДАТЬ, БЛАГОДІЙНИЙ ФОНД </w:t>
            </w:r>
            <w:r w:rsidRPr="002541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«ХРИСТИЯНСЬКИЙ КОВЧЕГ СПАСІННЯ», РЕЛІГІЙНА ГРОМАДА ЦЕРКВИ ЕВАНГЕЛЬСЬКИХ ХРИСТИЯН- БАПТИСТІВ «ДІМ МОЛИТВИ ДЛЯ ВСІХ», В М. МИКОЛАЄВІ МИКОЛАЇВСЬКОЇ ОБЛАСТІ, РЕЛІГІЙНА ОРГАНІЗАЦІЯ «РЕЛІГІЙНА ГРОМАДА ХРАМУ СВВ.ПРАВВ.ЗАХАРІЇ І ЄЛИСАВЕТИ РАППП.КОНСТЯНТИНА ТА ОЛЕНИ.БЛГВ.КН. ОЛЕКСАНДРА НЕВСЬКОГО МИКОЛАЇВСЬКОЇ ЄПАРХІЇ УКРАЇНСЬКОЇ ПРАВОСЛАВНОЇ ЦЕРКВИ (ПРАВОСЛАВНОЇ ЦЕРКВИ УКРАЇНИ) М.МИКОЛАЇВ МИКОЛАЇВСЬКОЇ ОБЛАСТІ, </w:t>
            </w:r>
            <w:r w:rsidRPr="002541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</w:t>
            </w:r>
            <w:r w:rsidR="00164B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254174">
              <w:rPr>
                <w:rFonts w:ascii="Times New Roman" w:hAnsi="Times New Roman" w:cs="Times New Roman"/>
                <w:sz w:val="20"/>
                <w:szCs w:val="20"/>
              </w:rPr>
              <w:t>Миколаївський зоопарк</w:t>
            </w:r>
            <w:r w:rsidRPr="002541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560" w:type="dxa"/>
          </w:tcPr>
          <w:p w14:paraId="3F1AAAA1" w14:textId="77777777" w:rsidR="00CD27AC" w:rsidRPr="00254174" w:rsidRDefault="00CD27AC" w:rsidP="008517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41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Всього в </w:t>
            </w:r>
            <w:proofErr w:type="spellStart"/>
            <w:r w:rsidRPr="002541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т.ч</w:t>
            </w:r>
            <w:proofErr w:type="spellEnd"/>
            <w:r w:rsidRPr="002541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992" w:type="dxa"/>
            <w:vAlign w:val="center"/>
          </w:tcPr>
          <w:p w14:paraId="7D10BA00" w14:textId="77777777" w:rsidR="00CD27AC" w:rsidRPr="00254174" w:rsidRDefault="00CD27AC" w:rsidP="008517F2">
            <w:pPr>
              <w:ind w:left="-20" w:right="-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4174">
              <w:rPr>
                <w:rFonts w:ascii="Times New Roman" w:hAnsi="Times New Roman" w:cs="Times New Roman"/>
                <w:sz w:val="20"/>
                <w:szCs w:val="20"/>
              </w:rPr>
              <w:t>64 148,0</w:t>
            </w:r>
          </w:p>
        </w:tc>
        <w:tc>
          <w:tcPr>
            <w:tcW w:w="1451" w:type="dxa"/>
            <w:vMerge w:val="restart"/>
            <w:vAlign w:val="center"/>
          </w:tcPr>
          <w:p w14:paraId="05BC9833" w14:textId="77777777" w:rsidR="00CD27AC" w:rsidRPr="00254174" w:rsidRDefault="00CD27AC" w:rsidP="008517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41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Забезпечення та збереження технічного стану систем очищення води</w:t>
            </w:r>
          </w:p>
        </w:tc>
      </w:tr>
      <w:tr w:rsidR="00CD27AC" w:rsidRPr="00254174" w14:paraId="424963E6" w14:textId="77777777" w:rsidTr="008517F2">
        <w:trPr>
          <w:jc w:val="center"/>
        </w:trPr>
        <w:tc>
          <w:tcPr>
            <w:tcW w:w="391" w:type="dxa"/>
            <w:vMerge/>
          </w:tcPr>
          <w:p w14:paraId="1DA3B2D4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52" w:type="dxa"/>
            <w:vMerge/>
          </w:tcPr>
          <w:p w14:paraId="2C1030BB" w14:textId="77777777" w:rsidR="00CD27AC" w:rsidRPr="00254174" w:rsidRDefault="00CD27AC" w:rsidP="008517F2">
            <w:pPr>
              <w:tabs>
                <w:tab w:val="left" w:pos="1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</w:tcPr>
          <w:p w14:paraId="042A34E1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</w:tcPr>
          <w:p w14:paraId="623B3F07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</w:tcPr>
          <w:p w14:paraId="15EDDE97" w14:textId="77777777" w:rsidR="00CD27AC" w:rsidRPr="00254174" w:rsidRDefault="00CD27AC" w:rsidP="008517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41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Бюджет Миколаївської міської територіальної громади</w:t>
            </w:r>
          </w:p>
        </w:tc>
        <w:tc>
          <w:tcPr>
            <w:tcW w:w="992" w:type="dxa"/>
            <w:vAlign w:val="center"/>
          </w:tcPr>
          <w:p w14:paraId="618101AC" w14:textId="77777777" w:rsidR="00CD27AC" w:rsidRPr="00254174" w:rsidRDefault="00CD27AC" w:rsidP="008517F2">
            <w:pPr>
              <w:ind w:left="-20" w:right="-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254174">
              <w:rPr>
                <w:rFonts w:ascii="Times New Roman" w:hAnsi="Times New Roman" w:cs="Times New Roman"/>
                <w:sz w:val="20"/>
                <w:szCs w:val="20"/>
              </w:rPr>
              <w:t>64 148,0</w:t>
            </w:r>
          </w:p>
        </w:tc>
        <w:tc>
          <w:tcPr>
            <w:tcW w:w="1451" w:type="dxa"/>
            <w:vMerge/>
            <w:vAlign w:val="center"/>
          </w:tcPr>
          <w:p w14:paraId="2D2A13E1" w14:textId="77777777" w:rsidR="00CD27AC" w:rsidRPr="00254174" w:rsidRDefault="00CD27AC" w:rsidP="008517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D27AC" w:rsidRPr="00254174" w14:paraId="2F48B94E" w14:textId="77777777" w:rsidTr="008517F2">
        <w:trPr>
          <w:jc w:val="center"/>
        </w:trPr>
        <w:tc>
          <w:tcPr>
            <w:tcW w:w="391" w:type="dxa"/>
            <w:vMerge/>
          </w:tcPr>
          <w:p w14:paraId="148A3B22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52" w:type="dxa"/>
            <w:vMerge/>
          </w:tcPr>
          <w:p w14:paraId="160B5342" w14:textId="77777777" w:rsidR="00CD27AC" w:rsidRPr="00254174" w:rsidRDefault="00CD27AC" w:rsidP="008517F2">
            <w:pPr>
              <w:tabs>
                <w:tab w:val="left" w:pos="1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</w:tcPr>
          <w:p w14:paraId="4B85BE87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</w:tcPr>
          <w:p w14:paraId="64EB19AE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</w:tcPr>
          <w:p w14:paraId="2A4523D8" w14:textId="77777777" w:rsidR="00CD27AC" w:rsidRPr="00254174" w:rsidRDefault="00CD27AC" w:rsidP="008517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41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джерела фінансування</w:t>
            </w:r>
          </w:p>
        </w:tc>
        <w:tc>
          <w:tcPr>
            <w:tcW w:w="992" w:type="dxa"/>
          </w:tcPr>
          <w:p w14:paraId="397CE412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41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51" w:type="dxa"/>
            <w:vMerge/>
            <w:vAlign w:val="center"/>
          </w:tcPr>
          <w:p w14:paraId="07464EC6" w14:textId="77777777" w:rsidR="00CD27AC" w:rsidRPr="00254174" w:rsidRDefault="00CD27AC" w:rsidP="008517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D27AC" w:rsidRPr="00254174" w14:paraId="7C6AFC0B" w14:textId="77777777" w:rsidTr="008517F2">
        <w:trPr>
          <w:jc w:val="center"/>
        </w:trPr>
        <w:tc>
          <w:tcPr>
            <w:tcW w:w="391" w:type="dxa"/>
          </w:tcPr>
          <w:p w14:paraId="13F9A1BB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52" w:type="dxa"/>
          </w:tcPr>
          <w:p w14:paraId="6ABE45D8" w14:textId="77777777" w:rsidR="00CD27AC" w:rsidRPr="00254174" w:rsidRDefault="00CD27AC" w:rsidP="008517F2">
            <w:pPr>
              <w:pStyle w:val="a3"/>
              <w:tabs>
                <w:tab w:val="left" w:pos="433"/>
              </w:tabs>
              <w:ind w:left="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2541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Всього по Програмі</w:t>
            </w:r>
          </w:p>
        </w:tc>
        <w:tc>
          <w:tcPr>
            <w:tcW w:w="1134" w:type="dxa"/>
          </w:tcPr>
          <w:p w14:paraId="208A512D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</w:tcPr>
          <w:p w14:paraId="7558FFCA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</w:tcPr>
          <w:p w14:paraId="7259DD6B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Align w:val="center"/>
          </w:tcPr>
          <w:p w14:paraId="7C904794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uk-UA"/>
              </w:rPr>
            </w:pPr>
            <w:r w:rsidRPr="00254174">
              <w:rPr>
                <w:rFonts w:ascii="Times New Roman" w:hAnsi="Times New Roman" w:cs="Times New Roman"/>
                <w:bCs/>
                <w:sz w:val="20"/>
                <w:szCs w:val="20"/>
              </w:rPr>
              <w:t>64 148,0</w:t>
            </w:r>
          </w:p>
        </w:tc>
        <w:tc>
          <w:tcPr>
            <w:tcW w:w="1451" w:type="dxa"/>
          </w:tcPr>
          <w:p w14:paraId="461706C1" w14:textId="77777777" w:rsidR="00CD27AC" w:rsidRPr="00254174" w:rsidRDefault="00CD27AC" w:rsidP="008517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14:paraId="2F541B59" w14:textId="77777777" w:rsidR="00CD27AC" w:rsidRPr="00254174" w:rsidRDefault="00CD27AC" w:rsidP="00CD27A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0"/>
          <w:szCs w:val="20"/>
          <w:lang w:eastAsia="uk-UA"/>
        </w:rPr>
      </w:pPr>
    </w:p>
    <w:p w14:paraId="48A9E7CB" w14:textId="77777777" w:rsidR="00CD27AC" w:rsidRDefault="00CD27AC" w:rsidP="00CD27AC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54174">
        <w:rPr>
          <w:rFonts w:ascii="Times New Roman" w:hAnsi="Times New Roman" w:cs="Times New Roman"/>
          <w:color w:val="000000" w:themeColor="text1"/>
        </w:rPr>
        <w:t>*Кошти з інших джерел фінансування, передбачені на виконання Програми, для відповідального виконавця (головного розпорядника коштів) можуть надходити протягом року та будуть затверджені у видатках бюджету Миколаївської міської територіальної громади на відповідний рік.</w:t>
      </w:r>
    </w:p>
    <w:p w14:paraId="611C5C6B" w14:textId="77777777" w:rsidR="00164BE2" w:rsidRDefault="00164BE2" w:rsidP="00CD27AC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3005B2B" w14:textId="4AEBB50D" w:rsidR="00164BE2" w:rsidRPr="00254174" w:rsidRDefault="00164BE2" w:rsidP="00CD27AC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</w:t>
      </w:r>
    </w:p>
    <w:p w14:paraId="392E3502" w14:textId="77777777" w:rsidR="00CD27AC" w:rsidRPr="00254174" w:rsidRDefault="00CD27AC" w:rsidP="00CD27AC">
      <w:pPr>
        <w:tabs>
          <w:tab w:val="left" w:pos="709"/>
        </w:tabs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54174">
        <w:rPr>
          <w:rFonts w:ascii="Open Sans" w:eastAsia="Times New Roman" w:hAnsi="Open Sans" w:cs="Open Sans"/>
          <w:color w:val="303030"/>
          <w:sz w:val="20"/>
          <w:szCs w:val="20"/>
          <w:lang w:eastAsia="uk-UA"/>
        </w:rPr>
        <w:br w:type="column"/>
      </w:r>
      <w:r w:rsidRPr="0025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Додаток 3</w:t>
      </w:r>
    </w:p>
    <w:p w14:paraId="3CB45489" w14:textId="77777777" w:rsidR="00CD27AC" w:rsidRPr="00254174" w:rsidRDefault="00CD27AC" w:rsidP="00CD27AC">
      <w:pPr>
        <w:shd w:val="clear" w:color="auto" w:fill="FFFFFF"/>
        <w:spacing w:after="0" w:line="240" w:lineRule="auto"/>
        <w:ind w:left="76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5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 Програми</w:t>
      </w:r>
    </w:p>
    <w:p w14:paraId="6D1BD832" w14:textId="77777777" w:rsidR="00CD27AC" w:rsidRPr="00254174" w:rsidRDefault="00CD27AC" w:rsidP="00CD27AC">
      <w:pPr>
        <w:shd w:val="clear" w:color="auto" w:fill="FFFFFF"/>
        <w:spacing w:after="0" w:line="240" w:lineRule="auto"/>
        <w:ind w:left="76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6041DA7E" w14:textId="77777777" w:rsidR="00CD27AC" w:rsidRPr="00254174" w:rsidRDefault="00CD27AC" w:rsidP="00CD2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5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Результативні показники</w:t>
      </w:r>
    </w:p>
    <w:p w14:paraId="5967F601" w14:textId="4F8D9F05" w:rsidR="00CD27AC" w:rsidRPr="00254174" w:rsidRDefault="00CD27AC" w:rsidP="00CD2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5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виконання Програми «Доступна вода»</w:t>
      </w:r>
      <w:r w:rsidR="00164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25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 2024 рік</w:t>
      </w:r>
    </w:p>
    <w:p w14:paraId="0455633A" w14:textId="77777777" w:rsidR="00CD27AC" w:rsidRPr="00254174" w:rsidRDefault="00CD27AC" w:rsidP="00CD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5699"/>
        <w:gridCol w:w="1165"/>
        <w:gridCol w:w="2067"/>
      </w:tblGrid>
      <w:tr w:rsidR="00CD27AC" w:rsidRPr="00254174" w14:paraId="3FB0BDBF" w14:textId="77777777" w:rsidTr="008517F2">
        <w:tc>
          <w:tcPr>
            <w:tcW w:w="567" w:type="dxa"/>
            <w:vAlign w:val="center"/>
          </w:tcPr>
          <w:p w14:paraId="5ACC59E5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25417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№</w:t>
            </w:r>
          </w:p>
        </w:tc>
        <w:tc>
          <w:tcPr>
            <w:tcW w:w="5699" w:type="dxa"/>
            <w:vAlign w:val="center"/>
          </w:tcPr>
          <w:p w14:paraId="6CA19E60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25417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Назва показника</w:t>
            </w:r>
          </w:p>
        </w:tc>
        <w:tc>
          <w:tcPr>
            <w:tcW w:w="1165" w:type="dxa"/>
            <w:vAlign w:val="center"/>
          </w:tcPr>
          <w:p w14:paraId="0F45B034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25417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Одиниці виміру</w:t>
            </w:r>
          </w:p>
        </w:tc>
        <w:tc>
          <w:tcPr>
            <w:tcW w:w="2067" w:type="dxa"/>
            <w:vAlign w:val="center"/>
          </w:tcPr>
          <w:p w14:paraId="7F8580F2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25417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2024 рік</w:t>
            </w:r>
          </w:p>
        </w:tc>
      </w:tr>
      <w:tr w:rsidR="00CD27AC" w:rsidRPr="00254174" w14:paraId="6E45D866" w14:textId="77777777" w:rsidTr="008517F2">
        <w:tc>
          <w:tcPr>
            <w:tcW w:w="567" w:type="dxa"/>
          </w:tcPr>
          <w:p w14:paraId="7A6C2FB6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uk-UA"/>
              </w:rPr>
            </w:pPr>
            <w:r w:rsidRPr="0025417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5699" w:type="dxa"/>
          </w:tcPr>
          <w:p w14:paraId="236F4577" w14:textId="77777777" w:rsidR="00CD27AC" w:rsidRPr="00254174" w:rsidRDefault="00CD27AC" w:rsidP="008517F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uk-UA"/>
              </w:rPr>
            </w:pPr>
            <w:r w:rsidRPr="002541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uk-UA"/>
              </w:rPr>
              <w:t>Показник затрат</w:t>
            </w:r>
          </w:p>
        </w:tc>
        <w:tc>
          <w:tcPr>
            <w:tcW w:w="1165" w:type="dxa"/>
          </w:tcPr>
          <w:p w14:paraId="7EC8B2E1" w14:textId="77777777" w:rsidR="00CD27AC" w:rsidRPr="00254174" w:rsidRDefault="00CD27AC" w:rsidP="008517F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uk-UA"/>
              </w:rPr>
            </w:pPr>
          </w:p>
        </w:tc>
        <w:tc>
          <w:tcPr>
            <w:tcW w:w="2067" w:type="dxa"/>
          </w:tcPr>
          <w:p w14:paraId="74835AF8" w14:textId="77777777" w:rsidR="00CD27AC" w:rsidRPr="00254174" w:rsidRDefault="00CD27AC" w:rsidP="008517F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uk-UA"/>
              </w:rPr>
            </w:pPr>
          </w:p>
        </w:tc>
      </w:tr>
      <w:tr w:rsidR="00CD27AC" w:rsidRPr="00254174" w14:paraId="1EA6079F" w14:textId="77777777" w:rsidTr="008517F2">
        <w:tc>
          <w:tcPr>
            <w:tcW w:w="567" w:type="dxa"/>
          </w:tcPr>
          <w:p w14:paraId="088BA816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</w:p>
        </w:tc>
        <w:tc>
          <w:tcPr>
            <w:tcW w:w="5699" w:type="dxa"/>
          </w:tcPr>
          <w:p w14:paraId="70BBFE2D" w14:textId="77777777" w:rsidR="00CD27AC" w:rsidRPr="00254174" w:rsidRDefault="00CD27AC" w:rsidP="008517F2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254174">
              <w:rPr>
                <w:rFonts w:ascii="Times New Roman" w:hAnsi="Times New Roman" w:cs="Times New Roman"/>
                <w:sz w:val="26"/>
                <w:szCs w:val="26"/>
              </w:rPr>
              <w:t xml:space="preserve">Обсяг видатків </w:t>
            </w:r>
          </w:p>
        </w:tc>
        <w:tc>
          <w:tcPr>
            <w:tcW w:w="1165" w:type="dxa"/>
            <w:vAlign w:val="center"/>
          </w:tcPr>
          <w:p w14:paraId="7712E84D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25417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тис. грн</w:t>
            </w:r>
          </w:p>
        </w:tc>
        <w:tc>
          <w:tcPr>
            <w:tcW w:w="2067" w:type="dxa"/>
            <w:vAlign w:val="center"/>
          </w:tcPr>
          <w:p w14:paraId="2B66B7CD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254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64 148,0</w:t>
            </w:r>
          </w:p>
        </w:tc>
      </w:tr>
      <w:tr w:rsidR="00CD27AC" w:rsidRPr="00254174" w14:paraId="0CE12B2E" w14:textId="77777777" w:rsidTr="008517F2">
        <w:tc>
          <w:tcPr>
            <w:tcW w:w="567" w:type="dxa"/>
          </w:tcPr>
          <w:p w14:paraId="627F1190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</w:p>
        </w:tc>
        <w:tc>
          <w:tcPr>
            <w:tcW w:w="5699" w:type="dxa"/>
          </w:tcPr>
          <w:p w14:paraId="3FD1A0FF" w14:textId="77777777" w:rsidR="00CD27AC" w:rsidRPr="00254174" w:rsidRDefault="00CD27AC" w:rsidP="008517F2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254174">
              <w:rPr>
                <w:rFonts w:ascii="Times New Roman" w:hAnsi="Times New Roman" w:cs="Times New Roman"/>
                <w:sz w:val="26"/>
                <w:szCs w:val="26"/>
              </w:rPr>
              <w:t>Обсяг бюджетних ресурсів</w:t>
            </w:r>
          </w:p>
        </w:tc>
        <w:tc>
          <w:tcPr>
            <w:tcW w:w="1165" w:type="dxa"/>
            <w:vAlign w:val="center"/>
          </w:tcPr>
          <w:p w14:paraId="681A2EC0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25417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тис. грн</w:t>
            </w:r>
          </w:p>
        </w:tc>
        <w:tc>
          <w:tcPr>
            <w:tcW w:w="2067" w:type="dxa"/>
            <w:vAlign w:val="center"/>
          </w:tcPr>
          <w:p w14:paraId="4F806CF7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254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64 148,0</w:t>
            </w:r>
          </w:p>
        </w:tc>
      </w:tr>
      <w:tr w:rsidR="00CD27AC" w:rsidRPr="00254174" w14:paraId="01A34430" w14:textId="77777777" w:rsidTr="008517F2">
        <w:tc>
          <w:tcPr>
            <w:tcW w:w="567" w:type="dxa"/>
          </w:tcPr>
          <w:p w14:paraId="35424952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</w:p>
        </w:tc>
        <w:tc>
          <w:tcPr>
            <w:tcW w:w="5699" w:type="dxa"/>
          </w:tcPr>
          <w:p w14:paraId="4B039ED0" w14:textId="77777777" w:rsidR="00CD27AC" w:rsidRPr="00254174" w:rsidRDefault="00CD27AC" w:rsidP="008517F2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254174">
              <w:rPr>
                <w:rFonts w:ascii="Times New Roman" w:hAnsi="Times New Roman" w:cs="Times New Roman"/>
                <w:sz w:val="26"/>
                <w:szCs w:val="26"/>
              </w:rPr>
              <w:t>Обсяг ресурсів інших джерел фінансування</w:t>
            </w:r>
          </w:p>
        </w:tc>
        <w:tc>
          <w:tcPr>
            <w:tcW w:w="1165" w:type="dxa"/>
            <w:vAlign w:val="center"/>
          </w:tcPr>
          <w:p w14:paraId="64F06B1A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25417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тис. грн</w:t>
            </w:r>
          </w:p>
        </w:tc>
        <w:tc>
          <w:tcPr>
            <w:tcW w:w="2067" w:type="dxa"/>
            <w:vAlign w:val="center"/>
          </w:tcPr>
          <w:p w14:paraId="7649A09B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25417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-</w:t>
            </w:r>
          </w:p>
        </w:tc>
      </w:tr>
      <w:tr w:rsidR="00CD27AC" w:rsidRPr="00254174" w14:paraId="360E7C91" w14:textId="77777777" w:rsidTr="008517F2">
        <w:tc>
          <w:tcPr>
            <w:tcW w:w="567" w:type="dxa"/>
          </w:tcPr>
          <w:p w14:paraId="6F7B8BE0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uk-UA"/>
              </w:rPr>
            </w:pPr>
            <w:r w:rsidRPr="0025417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5699" w:type="dxa"/>
          </w:tcPr>
          <w:p w14:paraId="71B1F12E" w14:textId="77777777" w:rsidR="00CD27AC" w:rsidRPr="00254174" w:rsidRDefault="00CD27AC" w:rsidP="008517F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uk-UA"/>
              </w:rPr>
            </w:pPr>
            <w:r w:rsidRPr="002541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Показник продукту</w:t>
            </w:r>
          </w:p>
        </w:tc>
        <w:tc>
          <w:tcPr>
            <w:tcW w:w="1165" w:type="dxa"/>
            <w:vAlign w:val="center"/>
          </w:tcPr>
          <w:p w14:paraId="527E712A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uk-UA"/>
              </w:rPr>
            </w:pPr>
          </w:p>
        </w:tc>
        <w:tc>
          <w:tcPr>
            <w:tcW w:w="2067" w:type="dxa"/>
            <w:vAlign w:val="center"/>
          </w:tcPr>
          <w:p w14:paraId="57C8310C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uk-UA"/>
              </w:rPr>
            </w:pPr>
          </w:p>
        </w:tc>
      </w:tr>
      <w:tr w:rsidR="00CD27AC" w:rsidRPr="00254174" w14:paraId="1EEEBA87" w14:textId="77777777" w:rsidTr="008517F2">
        <w:tc>
          <w:tcPr>
            <w:tcW w:w="567" w:type="dxa"/>
          </w:tcPr>
          <w:p w14:paraId="64CD8D08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</w:p>
        </w:tc>
        <w:tc>
          <w:tcPr>
            <w:tcW w:w="5699" w:type="dxa"/>
          </w:tcPr>
          <w:p w14:paraId="3CA85B40" w14:textId="77777777" w:rsidR="00CD27AC" w:rsidRPr="00254174" w:rsidRDefault="00CD27AC" w:rsidP="008517F2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uk-UA"/>
              </w:rPr>
            </w:pPr>
            <w:r w:rsidRPr="002541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Кількість заходів, які заплановано впроваджувати протягом року</w:t>
            </w:r>
          </w:p>
        </w:tc>
        <w:tc>
          <w:tcPr>
            <w:tcW w:w="1165" w:type="dxa"/>
            <w:vAlign w:val="center"/>
          </w:tcPr>
          <w:p w14:paraId="21C17CF2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25417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захід</w:t>
            </w:r>
          </w:p>
        </w:tc>
        <w:tc>
          <w:tcPr>
            <w:tcW w:w="2067" w:type="dxa"/>
            <w:vAlign w:val="center"/>
          </w:tcPr>
          <w:p w14:paraId="16E30976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uk-UA"/>
              </w:rPr>
            </w:pPr>
            <w:r w:rsidRPr="0025417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203</w:t>
            </w:r>
          </w:p>
        </w:tc>
      </w:tr>
      <w:tr w:rsidR="00CD27AC" w:rsidRPr="00254174" w14:paraId="3F446986" w14:textId="77777777" w:rsidTr="008517F2">
        <w:tc>
          <w:tcPr>
            <w:tcW w:w="567" w:type="dxa"/>
          </w:tcPr>
          <w:p w14:paraId="47768B88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uk-UA"/>
              </w:rPr>
            </w:pPr>
            <w:r w:rsidRPr="0025417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5699" w:type="dxa"/>
          </w:tcPr>
          <w:p w14:paraId="29D3CCFB" w14:textId="77777777" w:rsidR="00CD27AC" w:rsidRPr="00254174" w:rsidRDefault="00CD27AC" w:rsidP="008517F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uk-UA"/>
              </w:rPr>
            </w:pPr>
            <w:r w:rsidRPr="002541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 xml:space="preserve">Показник ефективності </w:t>
            </w:r>
          </w:p>
        </w:tc>
        <w:tc>
          <w:tcPr>
            <w:tcW w:w="1165" w:type="dxa"/>
            <w:vAlign w:val="center"/>
          </w:tcPr>
          <w:p w14:paraId="3D6B743A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uk-UA"/>
              </w:rPr>
            </w:pPr>
          </w:p>
        </w:tc>
        <w:tc>
          <w:tcPr>
            <w:tcW w:w="2067" w:type="dxa"/>
            <w:vAlign w:val="center"/>
          </w:tcPr>
          <w:p w14:paraId="5E56B401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uk-UA"/>
              </w:rPr>
            </w:pPr>
          </w:p>
        </w:tc>
      </w:tr>
      <w:tr w:rsidR="00CD27AC" w:rsidRPr="00254174" w14:paraId="0CF777A8" w14:textId="77777777" w:rsidTr="008517F2">
        <w:tc>
          <w:tcPr>
            <w:tcW w:w="567" w:type="dxa"/>
          </w:tcPr>
          <w:p w14:paraId="3E910761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</w:p>
        </w:tc>
        <w:tc>
          <w:tcPr>
            <w:tcW w:w="5699" w:type="dxa"/>
          </w:tcPr>
          <w:p w14:paraId="5CD4FBF0" w14:textId="77777777" w:rsidR="00CD27AC" w:rsidRPr="00254174" w:rsidRDefault="00CD27AC" w:rsidP="008517F2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uk-UA"/>
              </w:rPr>
            </w:pPr>
            <w:r w:rsidRPr="002541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Середні витрати на впровадження 1 заходу</w:t>
            </w:r>
          </w:p>
        </w:tc>
        <w:tc>
          <w:tcPr>
            <w:tcW w:w="1165" w:type="dxa"/>
            <w:vAlign w:val="center"/>
          </w:tcPr>
          <w:p w14:paraId="71D20F02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25417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тис. грн</w:t>
            </w:r>
          </w:p>
        </w:tc>
        <w:tc>
          <w:tcPr>
            <w:tcW w:w="2067" w:type="dxa"/>
            <w:vAlign w:val="center"/>
          </w:tcPr>
          <w:p w14:paraId="2296C45A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25417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316,0</w:t>
            </w:r>
          </w:p>
        </w:tc>
      </w:tr>
      <w:tr w:rsidR="00CD27AC" w:rsidRPr="00254174" w14:paraId="55B7F56A" w14:textId="77777777" w:rsidTr="008517F2">
        <w:tc>
          <w:tcPr>
            <w:tcW w:w="567" w:type="dxa"/>
          </w:tcPr>
          <w:p w14:paraId="0CB61C09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uk-UA"/>
              </w:rPr>
            </w:pPr>
            <w:r w:rsidRPr="0025417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uk-UA"/>
              </w:rPr>
              <w:t>4.</w:t>
            </w:r>
          </w:p>
        </w:tc>
        <w:tc>
          <w:tcPr>
            <w:tcW w:w="5699" w:type="dxa"/>
          </w:tcPr>
          <w:p w14:paraId="415E3AFE" w14:textId="77777777" w:rsidR="00CD27AC" w:rsidRPr="00254174" w:rsidRDefault="00CD27AC" w:rsidP="008517F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2541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 xml:space="preserve">Показник якості </w:t>
            </w:r>
          </w:p>
        </w:tc>
        <w:tc>
          <w:tcPr>
            <w:tcW w:w="1165" w:type="dxa"/>
            <w:vAlign w:val="center"/>
          </w:tcPr>
          <w:p w14:paraId="570A052D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2067" w:type="dxa"/>
            <w:vAlign w:val="center"/>
          </w:tcPr>
          <w:p w14:paraId="3675868F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uk-UA"/>
              </w:rPr>
            </w:pPr>
          </w:p>
        </w:tc>
      </w:tr>
      <w:tr w:rsidR="00CD27AC" w:rsidRPr="003249A1" w14:paraId="45086833" w14:textId="77777777" w:rsidTr="008517F2">
        <w:tc>
          <w:tcPr>
            <w:tcW w:w="567" w:type="dxa"/>
          </w:tcPr>
          <w:p w14:paraId="0D4EB8B4" w14:textId="77777777" w:rsidR="00CD27AC" w:rsidRPr="00254174" w:rsidRDefault="00CD27AC" w:rsidP="008517F2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</w:p>
        </w:tc>
        <w:tc>
          <w:tcPr>
            <w:tcW w:w="5699" w:type="dxa"/>
          </w:tcPr>
          <w:p w14:paraId="20109906" w14:textId="77777777" w:rsidR="00CD27AC" w:rsidRPr="00254174" w:rsidRDefault="00CD27AC" w:rsidP="008517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41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Питома вага впроваджених заходів до</w:t>
            </w:r>
          </w:p>
          <w:p w14:paraId="37CB4788" w14:textId="77777777" w:rsidR="00CD27AC" w:rsidRPr="00254174" w:rsidRDefault="00CD27AC" w:rsidP="008517F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541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запланованих</w:t>
            </w:r>
          </w:p>
        </w:tc>
        <w:tc>
          <w:tcPr>
            <w:tcW w:w="1165" w:type="dxa"/>
            <w:vAlign w:val="center"/>
          </w:tcPr>
          <w:p w14:paraId="0C8409C5" w14:textId="77777777" w:rsidR="00CD27AC" w:rsidRPr="00254174" w:rsidRDefault="00CD27AC" w:rsidP="008517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5417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%</w:t>
            </w:r>
          </w:p>
        </w:tc>
        <w:tc>
          <w:tcPr>
            <w:tcW w:w="2067" w:type="dxa"/>
            <w:vAlign w:val="center"/>
          </w:tcPr>
          <w:p w14:paraId="40778A7B" w14:textId="77777777" w:rsidR="00CD27AC" w:rsidRPr="003249A1" w:rsidRDefault="00CD27AC" w:rsidP="008517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</w:pPr>
            <w:r w:rsidRPr="0025417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uk-UA"/>
              </w:rPr>
              <w:t>100</w:t>
            </w:r>
          </w:p>
        </w:tc>
      </w:tr>
    </w:tbl>
    <w:p w14:paraId="44D5B6A5" w14:textId="72278EA2" w:rsidR="00E82C50" w:rsidRDefault="00E82C50" w:rsidP="00E82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2C50" w:rsidSect="00E82C50">
      <w:headerReference w:type="default" r:id="rId7"/>
      <w:head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8BAAE" w14:textId="77777777" w:rsidR="00F5244A" w:rsidRDefault="00F5244A">
      <w:pPr>
        <w:spacing w:after="0" w:line="240" w:lineRule="auto"/>
      </w:pPr>
      <w:r>
        <w:separator/>
      </w:r>
    </w:p>
  </w:endnote>
  <w:endnote w:type="continuationSeparator" w:id="0">
    <w:p w14:paraId="4DFC5A76" w14:textId="77777777" w:rsidR="00F5244A" w:rsidRDefault="00F5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46EBC" w14:textId="77777777" w:rsidR="00F5244A" w:rsidRDefault="00F5244A">
      <w:pPr>
        <w:spacing w:after="0" w:line="240" w:lineRule="auto"/>
      </w:pPr>
      <w:r>
        <w:separator/>
      </w:r>
    </w:p>
  </w:footnote>
  <w:footnote w:type="continuationSeparator" w:id="0">
    <w:p w14:paraId="1F497725" w14:textId="77777777" w:rsidR="00F5244A" w:rsidRDefault="00F52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753781"/>
      <w:docPartObj>
        <w:docPartGallery w:val="Page Numbers (Top of Page)"/>
        <w:docPartUnique/>
      </w:docPartObj>
    </w:sdtPr>
    <w:sdtContent>
      <w:p w14:paraId="6293942A" w14:textId="137D1E04" w:rsidR="00E82C50" w:rsidRDefault="00E82C50">
        <w:pPr>
          <w:pStyle w:val="a4"/>
          <w:jc w:val="center"/>
        </w:pPr>
        <w:r w:rsidRPr="00E82C5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2C5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2C5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E82C50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E82C5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45AE" w14:textId="7BDC008C" w:rsidR="00E82C50" w:rsidRDefault="00E82C50">
    <w:pPr>
      <w:pStyle w:val="a4"/>
      <w:jc w:val="center"/>
    </w:pPr>
  </w:p>
  <w:p w14:paraId="125E671C" w14:textId="77777777" w:rsidR="00E82C50" w:rsidRDefault="00E82C5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6486"/>
    <w:multiLevelType w:val="multilevel"/>
    <w:tmpl w:val="36E41E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B3B2BEB"/>
    <w:multiLevelType w:val="hybridMultilevel"/>
    <w:tmpl w:val="84788AB4"/>
    <w:lvl w:ilvl="0" w:tplc="3F3A0E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0D4515C"/>
    <w:multiLevelType w:val="multilevel"/>
    <w:tmpl w:val="481025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 w16cid:durableId="527446127">
    <w:abstractNumId w:val="0"/>
  </w:num>
  <w:num w:numId="2" w16cid:durableId="773405641">
    <w:abstractNumId w:val="1"/>
  </w:num>
  <w:num w:numId="3" w16cid:durableId="1844972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DA"/>
    <w:rsid w:val="000354EC"/>
    <w:rsid w:val="000433C4"/>
    <w:rsid w:val="000910DB"/>
    <w:rsid w:val="00164BE2"/>
    <w:rsid w:val="003512B2"/>
    <w:rsid w:val="00357421"/>
    <w:rsid w:val="003C7DDA"/>
    <w:rsid w:val="00490AA1"/>
    <w:rsid w:val="004965B8"/>
    <w:rsid w:val="004A23D5"/>
    <w:rsid w:val="00521A5F"/>
    <w:rsid w:val="00565FE4"/>
    <w:rsid w:val="005F73CD"/>
    <w:rsid w:val="006102A7"/>
    <w:rsid w:val="00782D25"/>
    <w:rsid w:val="007D11D4"/>
    <w:rsid w:val="00813D64"/>
    <w:rsid w:val="00821A60"/>
    <w:rsid w:val="009521B2"/>
    <w:rsid w:val="00970ABE"/>
    <w:rsid w:val="00AA0D14"/>
    <w:rsid w:val="00AF0CBD"/>
    <w:rsid w:val="00B55941"/>
    <w:rsid w:val="00B61F69"/>
    <w:rsid w:val="00BE4BE9"/>
    <w:rsid w:val="00C01E8E"/>
    <w:rsid w:val="00C44E75"/>
    <w:rsid w:val="00CD27AC"/>
    <w:rsid w:val="00D00EC9"/>
    <w:rsid w:val="00D4429E"/>
    <w:rsid w:val="00D903CE"/>
    <w:rsid w:val="00E07F2A"/>
    <w:rsid w:val="00E31D8C"/>
    <w:rsid w:val="00E669FA"/>
    <w:rsid w:val="00E82C50"/>
    <w:rsid w:val="00E87AA0"/>
    <w:rsid w:val="00F13679"/>
    <w:rsid w:val="00F220D5"/>
    <w:rsid w:val="00F25778"/>
    <w:rsid w:val="00F5244A"/>
    <w:rsid w:val="00F7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06E1"/>
  <w15:chartTrackingRefBased/>
  <w15:docId w15:val="{B3488A9A-6C87-4730-A7C7-BB103025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4EC"/>
  </w:style>
  <w:style w:type="paragraph" w:styleId="8">
    <w:name w:val="heading 8"/>
    <w:basedOn w:val="a"/>
    <w:next w:val="a"/>
    <w:link w:val="80"/>
    <w:unhideWhenUsed/>
    <w:qFormat/>
    <w:rsid w:val="00521A5F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4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4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54EC"/>
  </w:style>
  <w:style w:type="paragraph" w:styleId="a6">
    <w:name w:val="footer"/>
    <w:basedOn w:val="a"/>
    <w:link w:val="a7"/>
    <w:uiPriority w:val="99"/>
    <w:unhideWhenUsed/>
    <w:rsid w:val="00C01E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1E8E"/>
  </w:style>
  <w:style w:type="paragraph" w:styleId="a8">
    <w:name w:val="Body Text"/>
    <w:basedOn w:val="a"/>
    <w:link w:val="a9"/>
    <w:uiPriority w:val="99"/>
    <w:unhideWhenUsed/>
    <w:rsid w:val="003574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574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57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35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Hyperlink"/>
    <w:uiPriority w:val="99"/>
    <w:unhideWhenUsed/>
    <w:rsid w:val="0035742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521A5F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11761</Words>
  <Characters>6704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Сапожник</dc:creator>
  <cp:keywords/>
  <dc:description/>
  <cp:lastModifiedBy>Наталя Смирнова</cp:lastModifiedBy>
  <cp:revision>4</cp:revision>
  <dcterms:created xsi:type="dcterms:W3CDTF">2023-12-06T09:57:00Z</dcterms:created>
  <dcterms:modified xsi:type="dcterms:W3CDTF">2023-12-07T07:19:00Z</dcterms:modified>
</cp:coreProperties>
</file>