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6C" w:rsidRPr="007A046C" w:rsidRDefault="007A046C" w:rsidP="007A046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A046C" w:rsidRPr="007A046C" w:rsidRDefault="007A046C" w:rsidP="007A046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                                                                                  </w:t>
      </w:r>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Справа № 489/5835/16-ц</w:t>
      </w:r>
    </w:p>
    <w:p w:rsidR="007A046C" w:rsidRPr="007A046C" w:rsidRDefault="007A046C" w:rsidP="007A046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Номер провадження 2/489/514/17</w:t>
      </w:r>
    </w:p>
    <w:p w:rsidR="007A046C" w:rsidRPr="007A046C" w:rsidRDefault="007A046C" w:rsidP="007A046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b/>
          <w:bCs/>
          <w:color w:val="000000"/>
          <w:sz w:val="27"/>
          <w:szCs w:val="27"/>
          <w:lang w:eastAsia="ru-RU"/>
        </w:rPr>
        <w:t>РІШЕННЯ</w:t>
      </w:r>
    </w:p>
    <w:p w:rsidR="007A046C" w:rsidRPr="007A046C" w:rsidRDefault="007A046C" w:rsidP="007A046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b/>
          <w:bCs/>
          <w:color w:val="000000"/>
          <w:sz w:val="27"/>
          <w:szCs w:val="27"/>
          <w:lang w:eastAsia="ru-RU"/>
        </w:rPr>
        <w:t>Іменем України</w:t>
      </w:r>
    </w:p>
    <w:p w:rsidR="007A046C" w:rsidRPr="007A046C" w:rsidRDefault="007A046C" w:rsidP="007A046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b/>
          <w:bCs/>
          <w:color w:val="000000"/>
          <w:sz w:val="27"/>
          <w:szCs w:val="27"/>
          <w:lang w:eastAsia="ru-RU"/>
        </w:rPr>
        <w:t>(заочне)</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         12 квітня 2017 року                                                                          місто Миколаїв</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b/>
          <w:bCs/>
          <w:color w:val="000000"/>
          <w:sz w:val="27"/>
          <w:szCs w:val="27"/>
          <w:lang w:eastAsia="ru-RU"/>
        </w:rPr>
        <w:t>    </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Ленінський районний суд м. Миколаєва у складі:</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головуючого судді Кокорєва В. В.,</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при секретарі Недавній А. С.,</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Виконавчого комітету Миколаївської міської ради (далі - позивач) до ОСОБА_1 (далі - відповідач), третя особа - Комунальне підприємство "Спеціалізоване комунальне підприємство" "Гуртожиток" про визнання особи такою, що втратила право користування житловим приміщенням,</w:t>
      </w:r>
    </w:p>
    <w:p w:rsidR="007A046C" w:rsidRPr="007A046C" w:rsidRDefault="007A046C" w:rsidP="007A046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b/>
          <w:bCs/>
          <w:color w:val="000000"/>
          <w:sz w:val="27"/>
          <w:szCs w:val="27"/>
          <w:lang w:eastAsia="ru-RU"/>
        </w:rPr>
        <w:t>встановив</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У листопаді 2016 року позивач звернувся до суду з вказаним позовом, обґрунтовуючи свої вимоги тим, що гуртожиток по вул. М. Василевського, 59 в м. Миколаєві перебуває на балансі КП "СКП"Гуртожиток" та належить до комунальної власності територіальної громади міста Миколаєва (враховуючи і кімнату №16 даного гуртожитку). Вказує, що відповідач зареєстрований в кімнаті №16, проте не проживає в ній з 2015 року без поважних причин.</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Просив суд визнати</w:t>
      </w:r>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відповідача таким, що втратив право користування кімнатою №16 у гуртожитку по вул. М. Василевського, 59 в м. Миколаєві.</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Представник позивача позов підтримав, просив його задовольнити.</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Відповідач в судове засідання не з'явився, про час і місце розгляду справи повідомлявся належним чином, про причини неявки суду не повідомив.</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lastRenderedPageBreak/>
        <w:t>Ухвалою суду вирішено проводити заочний розгляд справи</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Дослідивши докази у справі, суд встановив такі обставини та відповідні правовідносини.</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Відповідно до</w:t>
      </w:r>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розпорядження №189р від 18.06.2015 гуртожиток по вул. М. Василевського, 59 в м. Миколаєві перебуває на балансі КП "СКП"Гуртожиток".</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Відповідно до довідки №3396 від 29.09.2016 в кімнаті №16 даного гуртожитку зареєстрований відповідач.</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Як вбачається з матеріалів справи, особовий рахунок на кім. №16 по вул. М. Василевського, 59 в м. Миколаєві на ім'я відповідача не відкривався.</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Згідно з актом за вих. №831 від 11.10.2016</w:t>
      </w:r>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в кімнаті №167 гуртожитку за адресою: вул. М. Василевського, 59 в м. Миколаєві відповідач не проживає з вересня 2015 року по теперішній час.</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Допитані в судовому засіданні свідки ОСОБА_2 та ОСОБА_3 вказали, що відповідач не проживає у кімнаті більше року, в кімнаті проживає інша особа.</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Відповідно до ст. ст.</w:t>
      </w:r>
      <w:r w:rsidRPr="007A046C">
        <w:rPr>
          <w:rFonts w:ascii="Times New Roman" w:eastAsia="Times New Roman" w:hAnsi="Times New Roman" w:cs="Times New Roman"/>
          <w:color w:val="000000"/>
          <w:sz w:val="27"/>
          <w:lang w:eastAsia="ru-RU"/>
        </w:rPr>
        <w:t> </w:t>
      </w:r>
      <w:hyperlink r:id="rId5" w:anchor="337" w:tgtFrame="_blank" w:tooltip="Житловий кодекс Української РСР; нормативно-правовий акт № 5464-X від 30.06.1983" w:history="1">
        <w:r w:rsidRPr="007A046C">
          <w:rPr>
            <w:rFonts w:ascii="Times New Roman" w:eastAsia="Times New Roman" w:hAnsi="Times New Roman" w:cs="Times New Roman"/>
            <w:color w:val="000000"/>
            <w:sz w:val="27"/>
            <w:lang w:eastAsia="ru-RU"/>
          </w:rPr>
          <w:t>71</w:t>
        </w:r>
      </w:hyperlink>
      <w:r w:rsidRPr="007A046C">
        <w:rPr>
          <w:rFonts w:ascii="Times New Roman" w:eastAsia="Times New Roman" w:hAnsi="Times New Roman" w:cs="Times New Roman"/>
          <w:color w:val="000000"/>
          <w:sz w:val="27"/>
          <w:szCs w:val="27"/>
          <w:lang w:eastAsia="ru-RU"/>
        </w:rPr>
        <w:t>,</w:t>
      </w:r>
      <w:r w:rsidRPr="007A046C">
        <w:rPr>
          <w:rFonts w:ascii="Times New Roman" w:eastAsia="Times New Roman" w:hAnsi="Times New Roman" w:cs="Times New Roman"/>
          <w:color w:val="000000"/>
          <w:sz w:val="27"/>
          <w:lang w:eastAsia="ru-RU"/>
        </w:rPr>
        <w:t> </w:t>
      </w:r>
      <w:hyperlink r:id="rId6" w:anchor="354" w:tgtFrame="_blank" w:tooltip="Житловий кодекс Української РСР; нормативно-правовий акт № 5464-X від 30.06.1983" w:history="1">
        <w:r w:rsidRPr="007A046C">
          <w:rPr>
            <w:rFonts w:ascii="Times New Roman" w:eastAsia="Times New Roman" w:hAnsi="Times New Roman" w:cs="Times New Roman"/>
            <w:color w:val="000000"/>
            <w:sz w:val="27"/>
            <w:lang w:eastAsia="ru-RU"/>
          </w:rPr>
          <w:t>72 ЖК України</w:t>
        </w:r>
      </w:hyperlink>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при тимчасовій відсутності наймача або членів його сім'ї за ним зберігається жиле приміщення протягом шести місяців, а визнання особи такої, що втратила право користування ним внаслідок відсутності понад встановлені строки проводиться у судовому порядку.</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Таким чином, враховуючи, що законодавством чітко передбачено, що у разі відсутності наймача понад шість місяців, він втрачає право користування житлом та судом встановлено, що відповідач не проживає в спірній кімнаті, позовні вимоги обґрунтовані і підлягають задоволенню.</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Відповідно до ч. 1</w:t>
      </w:r>
      <w:r w:rsidRPr="007A046C">
        <w:rPr>
          <w:rFonts w:ascii="Times New Roman" w:eastAsia="Times New Roman" w:hAnsi="Times New Roman" w:cs="Times New Roman"/>
          <w:color w:val="000000"/>
          <w:sz w:val="27"/>
          <w:lang w:eastAsia="ru-RU"/>
        </w:rPr>
        <w:t> </w:t>
      </w:r>
      <w:hyperlink r:id="rId7" w:anchor="1853"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ст. 88 ЦПК України</w:t>
        </w:r>
      </w:hyperlink>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стороні, на користь якої ухвалено рішення, суд присуджує з другої сторони понесені</w:t>
      </w:r>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нею і документально підтверджені судові витрати. Відтак з відповідача на користь позивача підлягає стягненню судовий збір в розмірі 1378 грн. 00 коп.</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На підставі викладеного та керуючись ст.</w:t>
      </w:r>
      <w:r w:rsidRPr="007A046C">
        <w:rPr>
          <w:rFonts w:ascii="Times New Roman" w:eastAsia="Times New Roman" w:hAnsi="Times New Roman" w:cs="Times New Roman"/>
          <w:color w:val="000000"/>
          <w:sz w:val="27"/>
          <w:lang w:eastAsia="ru-RU"/>
        </w:rPr>
        <w:t> </w:t>
      </w:r>
      <w:hyperlink r:id="rId8" w:anchor="1766"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10</w:t>
        </w:r>
      </w:hyperlink>
      <w:r w:rsidRPr="007A046C">
        <w:rPr>
          <w:rFonts w:ascii="Times New Roman" w:eastAsia="Times New Roman" w:hAnsi="Times New Roman" w:cs="Times New Roman"/>
          <w:color w:val="000000"/>
          <w:sz w:val="27"/>
          <w:szCs w:val="27"/>
          <w:lang w:eastAsia="ru-RU"/>
        </w:rPr>
        <w:t>,</w:t>
      </w:r>
      <w:r w:rsidRPr="007A046C">
        <w:rPr>
          <w:rFonts w:ascii="Times New Roman" w:eastAsia="Times New Roman" w:hAnsi="Times New Roman" w:cs="Times New Roman"/>
          <w:color w:val="000000"/>
          <w:sz w:val="27"/>
          <w:lang w:eastAsia="ru-RU"/>
        </w:rPr>
        <w:t> </w:t>
      </w:r>
      <w:hyperlink r:id="rId9" w:anchor="1767"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11</w:t>
        </w:r>
      </w:hyperlink>
      <w:r w:rsidRPr="007A046C">
        <w:rPr>
          <w:rFonts w:ascii="Times New Roman" w:eastAsia="Times New Roman" w:hAnsi="Times New Roman" w:cs="Times New Roman"/>
          <w:color w:val="000000"/>
          <w:sz w:val="27"/>
          <w:szCs w:val="27"/>
          <w:lang w:eastAsia="ru-RU"/>
        </w:rPr>
        <w:t>,</w:t>
      </w:r>
      <w:r w:rsidRPr="007A046C">
        <w:rPr>
          <w:rFonts w:ascii="Times New Roman" w:eastAsia="Times New Roman" w:hAnsi="Times New Roman" w:cs="Times New Roman"/>
          <w:color w:val="000000"/>
          <w:sz w:val="27"/>
          <w:lang w:eastAsia="ru-RU"/>
        </w:rPr>
        <w:t> </w:t>
      </w:r>
      <w:hyperlink r:id="rId10" w:anchor="1822"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60</w:t>
        </w:r>
      </w:hyperlink>
      <w:r w:rsidRPr="007A046C">
        <w:rPr>
          <w:rFonts w:ascii="Times New Roman" w:eastAsia="Times New Roman" w:hAnsi="Times New Roman" w:cs="Times New Roman"/>
          <w:color w:val="000000"/>
          <w:sz w:val="27"/>
          <w:szCs w:val="27"/>
          <w:lang w:eastAsia="ru-RU"/>
        </w:rPr>
        <w:t>,</w:t>
      </w:r>
      <w:r w:rsidRPr="007A046C">
        <w:rPr>
          <w:rFonts w:ascii="Times New Roman" w:eastAsia="Times New Roman" w:hAnsi="Times New Roman" w:cs="Times New Roman"/>
          <w:color w:val="000000"/>
          <w:sz w:val="27"/>
          <w:lang w:eastAsia="ru-RU"/>
        </w:rPr>
        <w:t> </w:t>
      </w:r>
      <w:hyperlink r:id="rId11" w:anchor="1987"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212</w:t>
        </w:r>
      </w:hyperlink>
      <w:r w:rsidRPr="007A046C">
        <w:rPr>
          <w:rFonts w:ascii="Times New Roman" w:eastAsia="Times New Roman" w:hAnsi="Times New Roman" w:cs="Times New Roman"/>
          <w:color w:val="000000"/>
          <w:sz w:val="27"/>
          <w:szCs w:val="27"/>
          <w:lang w:eastAsia="ru-RU"/>
        </w:rPr>
        <w:t>,</w:t>
      </w:r>
      <w:r w:rsidRPr="007A046C">
        <w:rPr>
          <w:rFonts w:ascii="Times New Roman" w:eastAsia="Times New Roman" w:hAnsi="Times New Roman" w:cs="Times New Roman"/>
          <w:color w:val="000000"/>
          <w:sz w:val="27"/>
          <w:lang w:eastAsia="ru-RU"/>
        </w:rPr>
        <w:t> </w:t>
      </w:r>
      <w:hyperlink r:id="rId12" w:anchor="1990"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215</w:t>
        </w:r>
      </w:hyperlink>
      <w:r w:rsidRPr="007A046C">
        <w:rPr>
          <w:rFonts w:ascii="Times New Roman" w:eastAsia="Times New Roman" w:hAnsi="Times New Roman" w:cs="Times New Roman"/>
          <w:color w:val="000000"/>
          <w:sz w:val="27"/>
          <w:szCs w:val="27"/>
          <w:lang w:eastAsia="ru-RU"/>
        </w:rPr>
        <w:t>,</w:t>
      </w:r>
      <w:r w:rsidRPr="007A046C">
        <w:rPr>
          <w:rFonts w:ascii="Times New Roman" w:eastAsia="Times New Roman" w:hAnsi="Times New Roman" w:cs="Times New Roman"/>
          <w:color w:val="000000"/>
          <w:sz w:val="27"/>
          <w:lang w:eastAsia="ru-RU"/>
        </w:rPr>
        <w:t> </w:t>
      </w:r>
      <w:hyperlink r:id="rId13" w:anchor="2002" w:tgtFrame="_blank" w:tooltip="Цивільний процесуальний кодекс України; нормативно-правовий акт № 1618-IV від 18.03.2004" w:history="1">
        <w:r w:rsidRPr="007A046C">
          <w:rPr>
            <w:rFonts w:ascii="Times New Roman" w:eastAsia="Times New Roman" w:hAnsi="Times New Roman" w:cs="Times New Roman"/>
            <w:color w:val="000000"/>
            <w:sz w:val="27"/>
            <w:lang w:eastAsia="ru-RU"/>
          </w:rPr>
          <w:t>226 ЦПК України</w:t>
        </w:r>
      </w:hyperlink>
      <w:r w:rsidRPr="007A046C">
        <w:rPr>
          <w:rFonts w:ascii="Times New Roman" w:eastAsia="Times New Roman" w:hAnsi="Times New Roman" w:cs="Times New Roman"/>
          <w:color w:val="000000"/>
          <w:sz w:val="27"/>
          <w:szCs w:val="27"/>
          <w:lang w:eastAsia="ru-RU"/>
        </w:rPr>
        <w:t>, суд</w:t>
      </w:r>
    </w:p>
    <w:p w:rsidR="007A046C" w:rsidRPr="007A046C" w:rsidRDefault="007A046C" w:rsidP="007A046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b/>
          <w:bCs/>
          <w:color w:val="000000"/>
          <w:sz w:val="27"/>
          <w:szCs w:val="27"/>
          <w:lang w:eastAsia="ru-RU"/>
        </w:rPr>
        <w:t>вирішив</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Позов Виконавчого комітету Миколаївської міської ради до ОСОБА_1 про визнання особи такою, що втратила право користування житловим приміщенням - задовольнити.</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Визнати ОСОБА_1, 01.11.1987 р. н., такою, що втратила право користування житловим приміщенням - кімнатою №16 у гуртожитку по вул. М. Василевського, 59 в м. Миколаєві.</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lastRenderedPageBreak/>
        <w:t>Стягнути з ОСОБА_1 на користь Виконавчого комітету Миколаївської міської ради (код ЄДРПОУ 04056612, р/р 35415001001357 в ГУДКУ в Миколаївській області) судовий збір в розмірі 1378,00 грн.</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Заочне рішення може бути переглянуто судом, що його ухвалив, за письмовою заявою відповідача, поданою протягом 10 днів з дня отримання копії цього рішення.</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У разі залишення заяви про перегляд заочного рішення без задоволення,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 Миколаєва протягом десяти днів з дати постановлення ухвали про залишення заяви про перегляд заочного рішення без задоволення.</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Рішення може бути оскаржено позивачем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7A046C" w:rsidRPr="007A046C" w:rsidRDefault="007A046C" w:rsidP="007A046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46C">
        <w:rPr>
          <w:rFonts w:ascii="Times New Roman" w:eastAsia="Times New Roman" w:hAnsi="Times New Roman" w:cs="Times New Roman"/>
          <w:color w:val="000000"/>
          <w:sz w:val="27"/>
          <w:szCs w:val="27"/>
          <w:lang w:eastAsia="ru-RU"/>
        </w:rPr>
        <w:t>Суддя</w:t>
      </w:r>
      <w:r w:rsidRPr="007A046C">
        <w:rPr>
          <w:rFonts w:ascii="Times New Roman" w:eastAsia="Times New Roman" w:hAnsi="Times New Roman" w:cs="Times New Roman"/>
          <w:color w:val="000000"/>
          <w:sz w:val="27"/>
          <w:lang w:eastAsia="ru-RU"/>
        </w:rPr>
        <w:t> </w:t>
      </w:r>
      <w:r w:rsidRPr="007A046C">
        <w:rPr>
          <w:rFonts w:ascii="Times New Roman" w:eastAsia="Times New Roman" w:hAnsi="Times New Roman" w:cs="Times New Roman"/>
          <w:color w:val="000000"/>
          <w:sz w:val="27"/>
          <w:szCs w:val="27"/>
          <w:lang w:eastAsia="ru-RU"/>
        </w:rPr>
        <w:t>В. В. Кокорєв</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046C"/>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40269"/>
    <w:rsid w:val="00141AE2"/>
    <w:rsid w:val="00143441"/>
    <w:rsid w:val="00151AEA"/>
    <w:rsid w:val="00152723"/>
    <w:rsid w:val="001628CC"/>
    <w:rsid w:val="00176D7E"/>
    <w:rsid w:val="001809DF"/>
    <w:rsid w:val="00184FBC"/>
    <w:rsid w:val="001901EB"/>
    <w:rsid w:val="001908BE"/>
    <w:rsid w:val="00195AE6"/>
    <w:rsid w:val="00195BFE"/>
    <w:rsid w:val="001A13C9"/>
    <w:rsid w:val="001A23DF"/>
    <w:rsid w:val="001A4779"/>
    <w:rsid w:val="001A6465"/>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046C"/>
    <w:rsid w:val="007A7E85"/>
    <w:rsid w:val="007B56DA"/>
    <w:rsid w:val="007C2827"/>
    <w:rsid w:val="007C452B"/>
    <w:rsid w:val="007C4BBF"/>
    <w:rsid w:val="007C55F5"/>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697A"/>
    <w:rsid w:val="00D3155F"/>
    <w:rsid w:val="00D34CC1"/>
    <w:rsid w:val="00D34E9F"/>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B0508"/>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046C"/>
  </w:style>
  <w:style w:type="character" w:styleId="a4">
    <w:name w:val="Hyperlink"/>
    <w:basedOn w:val="a0"/>
    <w:uiPriority w:val="99"/>
    <w:semiHidden/>
    <w:unhideWhenUsed/>
    <w:rsid w:val="007A046C"/>
    <w:rPr>
      <w:color w:val="0000FF"/>
      <w:u w:val="single"/>
    </w:rPr>
  </w:style>
  <w:style w:type="paragraph" w:styleId="a5">
    <w:name w:val="Balloon Text"/>
    <w:basedOn w:val="a"/>
    <w:link w:val="a6"/>
    <w:uiPriority w:val="99"/>
    <w:semiHidden/>
    <w:unhideWhenUsed/>
    <w:rsid w:val="007A04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3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6/ed_2017_02_09/pravo1/T041618.html?pravo=1" TargetMode="External"/><Relationship Id="rId13" Type="http://schemas.openxmlformats.org/officeDocument/2006/relationships/hyperlink" Target="http://search.ligazakon.ua/l_doc2.nsf/link1/an_2002/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853/ed_2017_02_09/pravo1/T041618.html?pravo=1" TargetMode="External"/><Relationship Id="rId12" Type="http://schemas.openxmlformats.org/officeDocument/2006/relationships/hyperlink" Target="http://search.ligazakon.ua/l_doc2.nsf/link1/an_1990/ed_2017_02_0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354/ed_2016_12_21/pravo1/KD0003.html?pravo=1" TargetMode="External"/><Relationship Id="rId11" Type="http://schemas.openxmlformats.org/officeDocument/2006/relationships/hyperlink" Target="http://search.ligazakon.ua/l_doc2.nsf/link1/an_1987/ed_2017_02_09/pravo1/T041618.html?pravo=1" TargetMode="External"/><Relationship Id="rId5" Type="http://schemas.openxmlformats.org/officeDocument/2006/relationships/hyperlink" Target="http://search.ligazakon.ua/l_doc2.nsf/link1/an_337/ed_2016_12_21/pravo1/KD0003.html?pravo=1" TargetMode="External"/><Relationship Id="rId15" Type="http://schemas.openxmlformats.org/officeDocument/2006/relationships/theme" Target="theme/theme1.xml"/><Relationship Id="rId10" Type="http://schemas.openxmlformats.org/officeDocument/2006/relationships/hyperlink" Target="http://search.ligazakon.ua/l_doc2.nsf/link1/an_1822/ed_2017_02_0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7/ed_2017_02_09/pravo1/T04161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5605</Characters>
  <Application>Microsoft Office Word</Application>
  <DocSecurity>0</DocSecurity>
  <Lines>46</Lines>
  <Paragraphs>13</Paragraphs>
  <ScaleCrop>false</ScaleCrop>
  <Company>Microsoft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2017-11-15T10:07:00Z</dcterms:created>
  <dcterms:modified xsi:type="dcterms:W3CDTF">2017-11-15T10:07:00Z</dcterms:modified>
</cp:coreProperties>
</file>