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A1" w:rsidRPr="00A712A1" w:rsidRDefault="00A712A1" w:rsidP="00A712A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A712A1" w:rsidRPr="00A712A1" w:rsidRDefault="00A712A1" w:rsidP="00A712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МИКОЛАЇВСЬКИЙ ОКРУЖНИЙ АДМІНІСТРАТИВНИЙ СУД</w:t>
      </w:r>
    </w:p>
    <w:p w:rsidR="00A712A1" w:rsidRPr="00A712A1" w:rsidRDefault="00A712A1" w:rsidP="00A712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712A1">
        <w:rPr>
          <w:rFonts w:ascii="Times New Roman" w:eastAsia="Times New Roman" w:hAnsi="Times New Roman" w:cs="Times New Roman"/>
          <w:color w:val="000000"/>
          <w:sz w:val="27"/>
          <w:szCs w:val="27"/>
        </w:rPr>
        <w:t>ПОСТАНОВА</w:t>
      </w:r>
    </w:p>
    <w:p w:rsidR="00A712A1" w:rsidRPr="00A712A1" w:rsidRDefault="00A712A1" w:rsidP="00A712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712A1">
        <w:rPr>
          <w:rFonts w:ascii="Times New Roman" w:eastAsia="Times New Roman" w:hAnsi="Times New Roman" w:cs="Times New Roman"/>
          <w:color w:val="000000"/>
          <w:sz w:val="27"/>
          <w:szCs w:val="27"/>
        </w:rPr>
        <w:t>Іменем   України</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25 вересня 2017 р.</w:t>
      </w:r>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color w:val="000000"/>
          <w:sz w:val="27"/>
          <w:szCs w:val="27"/>
        </w:rPr>
        <w:t>Справа № 814/1754/17  </w:t>
      </w:r>
    </w:p>
    <w:p w:rsidR="00A712A1" w:rsidRPr="00A712A1" w:rsidRDefault="00A712A1" w:rsidP="00A712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м. Миколаїв</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Миколаївський окружний адміністративний суд  у складі  судді Біоносенка В.В., розглянув у порядку письмового провадження адміністративну справу</w:t>
      </w:r>
    </w:p>
    <w:p w:rsidR="00A712A1" w:rsidRPr="00A712A1" w:rsidRDefault="00A712A1" w:rsidP="00A712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712A1">
        <w:rPr>
          <w:rFonts w:ascii="Times New Roman" w:eastAsia="Times New Roman" w:hAnsi="Times New Roman" w:cs="Times New Roman"/>
          <w:color w:val="000000"/>
          <w:sz w:val="27"/>
          <w:szCs w:val="27"/>
        </w:rPr>
        <w:t>за позовом</w:t>
      </w:r>
      <w:r w:rsidRPr="00A712A1">
        <w:rPr>
          <w:rFonts w:ascii="Times New Roman" w:eastAsia="Times New Roman" w:hAnsi="Times New Roman" w:cs="Times New Roman"/>
          <w:i/>
          <w:iCs/>
          <w:color w:val="000000"/>
          <w:sz w:val="27"/>
          <w:szCs w:val="27"/>
        </w:rPr>
        <w:t>ОСОБА_1,  </w:t>
      </w:r>
      <w:r w:rsidRPr="00A712A1">
        <w:rPr>
          <w:rFonts w:ascii="Times New Roman" w:eastAsia="Times New Roman" w:hAnsi="Times New Roman" w:cs="Times New Roman"/>
          <w:color w:val="000000"/>
          <w:sz w:val="27"/>
          <w:szCs w:val="27"/>
        </w:rPr>
        <w:t>до</w:t>
      </w:r>
      <w:r w:rsidRPr="00A712A1">
        <w:rPr>
          <w:rFonts w:ascii="Times New Roman" w:eastAsia="Times New Roman" w:hAnsi="Times New Roman" w:cs="Times New Roman"/>
          <w:i/>
          <w:iCs/>
          <w:color w:val="000000"/>
          <w:sz w:val="27"/>
          <w:szCs w:val="27"/>
        </w:rPr>
        <w:t>Головного управління Державної Фіскальної служби у Миколаївській області,  </w:t>
      </w:r>
      <w:r w:rsidRPr="00A712A1">
        <w:rPr>
          <w:rFonts w:ascii="Times New Roman" w:eastAsia="Times New Roman" w:hAnsi="Times New Roman" w:cs="Times New Roman"/>
          <w:color w:val="000000"/>
          <w:sz w:val="27"/>
          <w:szCs w:val="27"/>
        </w:rPr>
        <w:t>треті особи</w:t>
      </w:r>
      <w:r w:rsidRPr="00A712A1">
        <w:rPr>
          <w:rFonts w:ascii="Times New Roman" w:eastAsia="Times New Roman" w:hAnsi="Times New Roman" w:cs="Times New Roman"/>
          <w:i/>
          <w:iCs/>
          <w:color w:val="000000"/>
          <w:sz w:val="27"/>
          <w:szCs w:val="27"/>
        </w:rPr>
        <w:t>Миколаївська міська рада,  </w:t>
      </w:r>
      <w:r w:rsidRPr="00A712A1">
        <w:rPr>
          <w:rFonts w:ascii="Times New Roman" w:eastAsia="Times New Roman" w:hAnsi="Times New Roman" w:cs="Times New Roman"/>
          <w:color w:val="000000"/>
          <w:sz w:val="27"/>
          <w:szCs w:val="27"/>
        </w:rPr>
        <w:t>про</w:t>
      </w:r>
      <w:r w:rsidRPr="00A712A1">
        <w:rPr>
          <w:rFonts w:ascii="Times New Roman" w:eastAsia="Times New Roman" w:hAnsi="Times New Roman" w:cs="Times New Roman"/>
          <w:b/>
          <w:bCs/>
          <w:color w:val="000000"/>
          <w:sz w:val="27"/>
          <w:szCs w:val="27"/>
        </w:rPr>
        <w:t>скасування податкового повідомлення-рішення від 10.04.2017р. №37366-1303,</w:t>
      </w:r>
      <w:r w:rsidRPr="00A712A1">
        <w:rPr>
          <w:rFonts w:ascii="Times New Roman" w:eastAsia="Times New Roman" w:hAnsi="Times New Roman" w:cs="Times New Roman"/>
          <w:color w:val="000000"/>
          <w:sz w:val="27"/>
        </w:rPr>
        <w:t> </w:t>
      </w:r>
      <w:r w:rsidRPr="00A712A1">
        <w:rPr>
          <w:rFonts w:ascii="Times New Roman" w:eastAsia="Times New Roman" w:hAnsi="Times New Roman" w:cs="Times New Roman"/>
          <w:color w:val="000000"/>
          <w:sz w:val="27"/>
          <w:szCs w:val="27"/>
        </w:rPr>
        <w:t>В С Т А Н О В И В:</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ОСОБА_1 звернулась до адміністративного суду з позовом до Головного управління Державної фіскальної служби України у Миколаївський області про скасування податкового повідомлення-рішення від 10.04.17 №37366-1303, яким йому визначено податкове зобовязання з орендної плати на землю в розмірі 30037,89 гривень. Свої позовні вимоги позивач обґрунтував тим, що зазначена ділянка була отримана в оренду для обслуговування нежитлової нерухомості, яка належала на прав власності позивачу за вказаною адресою. Оскільки позивач продав 18.03.16 вказану нерухомість іншій особі, він припинив використовувати зазначену земельну ділянку. Відповідно до вимог</w:t>
      </w:r>
      <w:r w:rsidRPr="00A712A1">
        <w:rPr>
          <w:rFonts w:ascii="Times New Roman" w:eastAsia="Times New Roman" w:hAnsi="Times New Roman" w:cs="Times New Roman"/>
          <w:b/>
          <w:bCs/>
          <w:color w:val="000000"/>
          <w:sz w:val="27"/>
        </w:rPr>
        <w:t> </w:t>
      </w:r>
      <w:hyperlink r:id="rId5" w:anchor="892" w:tgtFrame="_blank" w:tooltip="Земельний кодекс України; нормативно-правовий акт № 2768-III від 25.10.2001" w:history="1">
        <w:r w:rsidRPr="00A712A1">
          <w:rPr>
            <w:rFonts w:ascii="Times New Roman" w:eastAsia="Times New Roman" w:hAnsi="Times New Roman" w:cs="Times New Roman"/>
            <w:b/>
            <w:bCs/>
            <w:color w:val="0000FF"/>
            <w:sz w:val="27"/>
            <w:u w:val="single"/>
          </w:rPr>
          <w:t>ст.141 Земельного кодексу України</w:t>
        </w:r>
      </w:hyperlink>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договір оренди землі вважається припиненим. За таких обставин у відповідача немає правових підстав для нарахування позивачу орендної плати за земельну ділянку за 2017 рік.</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Відповідач позов не визнав, просив в його задоволенні відмовити. Свою позицію обґрунтував тим, що згідно</w:t>
      </w:r>
      <w:r w:rsidRPr="00A712A1">
        <w:rPr>
          <w:rFonts w:ascii="Times New Roman" w:eastAsia="Times New Roman" w:hAnsi="Times New Roman" w:cs="Times New Roman"/>
          <w:b/>
          <w:bCs/>
          <w:color w:val="000000"/>
          <w:sz w:val="27"/>
        </w:rPr>
        <w:t> </w:t>
      </w:r>
      <w:hyperlink r:id="rId6" w:anchor="1242" w:tgtFrame="_blank" w:tooltip="Земельний кодекс України; нормативно-правовий акт № 2768-III від 25.10.2001" w:history="1">
        <w:r w:rsidRPr="00A712A1">
          <w:rPr>
            <w:rFonts w:ascii="Times New Roman" w:eastAsia="Times New Roman" w:hAnsi="Times New Roman" w:cs="Times New Roman"/>
            <w:b/>
            <w:bCs/>
            <w:color w:val="0000FF"/>
            <w:sz w:val="27"/>
            <w:u w:val="single"/>
          </w:rPr>
          <w:t>ст.206 Земельного кодексу України</w:t>
        </w:r>
      </w:hyperlink>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використання землі в Україні є платним. Підпунктом</w:t>
      </w:r>
      <w:r w:rsidRPr="00A712A1">
        <w:rPr>
          <w:rFonts w:ascii="Times New Roman" w:eastAsia="Times New Roman" w:hAnsi="Times New Roman" w:cs="Times New Roman"/>
          <w:b/>
          <w:bCs/>
          <w:color w:val="000000"/>
          <w:sz w:val="27"/>
        </w:rPr>
        <w:t> </w:t>
      </w:r>
      <w:hyperlink r:id="rId7" w:anchor="10909" w:tgtFrame="_blank" w:tooltip="Податковий кодекс України (ред. з 01.01.2017); нормативно-правовий акт № 2755-VI від 02.12.2010" w:history="1">
        <w:r w:rsidRPr="00A712A1">
          <w:rPr>
            <w:rFonts w:ascii="Times New Roman" w:eastAsia="Times New Roman" w:hAnsi="Times New Roman" w:cs="Times New Roman"/>
            <w:b/>
            <w:bCs/>
            <w:color w:val="0000FF"/>
            <w:sz w:val="27"/>
            <w:u w:val="single"/>
          </w:rPr>
          <w:t>14.1.72</w:t>
        </w:r>
      </w:hyperlink>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ст.</w:t>
      </w:r>
      <w:hyperlink r:id="rId8" w:anchor="10765" w:tgtFrame="_blank" w:tooltip="Податковий кодекс України (ред. з 01.01.2017); нормативно-правовий акт № 2755-VI від 02.12.2010" w:history="1">
        <w:r w:rsidRPr="00A712A1">
          <w:rPr>
            <w:rFonts w:ascii="Times New Roman" w:eastAsia="Times New Roman" w:hAnsi="Times New Roman" w:cs="Times New Roman"/>
            <w:b/>
            <w:bCs/>
            <w:color w:val="0000FF"/>
            <w:sz w:val="27"/>
            <w:u w:val="single"/>
          </w:rPr>
          <w:t>14 ПК України</w:t>
        </w:r>
      </w:hyperlink>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встановлено, що плата за землю</w:t>
      </w:r>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 xml:space="preserve">обовязковий платіж, що справляється з власників земельних ділянок та земельних часток (паїв), а також постійних землекористувачів. Згідно з договором оренди землі від 08.07.15 Миколаївською міською радою передано ОСОБА_2, ОСОБА_3 та ОСОБА_1 в оренду земельну ділянку для обслуговування приміщень офісу по вулиці Гмирьова, 17, в м. Миколаєві. Відповідно до п.3.1 зазначеного </w:t>
      </w:r>
      <w:r w:rsidRPr="00A712A1">
        <w:rPr>
          <w:rFonts w:ascii="Times New Roman" w:eastAsia="Times New Roman" w:hAnsi="Times New Roman" w:cs="Times New Roman"/>
          <w:b/>
          <w:bCs/>
          <w:color w:val="000000"/>
          <w:sz w:val="27"/>
          <w:szCs w:val="27"/>
        </w:rPr>
        <w:lastRenderedPageBreak/>
        <w:t>договору він діє протягом 10 років. Зміна умов договору і припинення його дії викладені у р.11 договору. Крім того, у п.4.3 вказаного вище договору оренди землі зазначено, що розмір нормативної грошової оцінки земельної ділянки не є сталим і змінюється у звязку з проведенням її щорічної індексації та внесенням змін на підставі вимог діючого законодавства й інших нормативних документів. Розмір нормативної грошової оцінки земельної ділянки змінюватиметься без внесення змін та доповнень до цього договору.</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Третя особа, Миколаївська міська рада також заперечила проти позову та просила в його задоволенні відмовити. Свою позицію третя особа обґрунтувала тим, що відповідно до п.11.1 договору оренди землі №10933 від 08.07.15 всі зміни та/або доповнення до цього договору здійснюються у письмовій формі за взаємною згодою сторін, шляхом внесення змін у вигляді додаткової угоди.</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Оскільки до теперішнього часу додаткова угода щодо зміни орендаря в договорі між позивачем та Миколаївської міської радою не укладалась, то за таких обставин немає підстав вважати його припиненим.</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Посилання позивача на припинення договору оренди є необґрунтованими, оскільки у разі припинення або розірвання договору оренди землі, орендар зобовязаний повернути орендодавцеві земельну ділянку на умовах визначених договором. Однак земельна ділянка орендодавцем не повернута, акт приймання-передачі щодо повернення земельної ділянки між позивачем та міською радою не підписувався.</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До того ж, відповідно до</w:t>
      </w:r>
      <w:r w:rsidRPr="00A712A1">
        <w:rPr>
          <w:rFonts w:ascii="Times New Roman" w:eastAsia="Times New Roman" w:hAnsi="Times New Roman" w:cs="Times New Roman"/>
          <w:b/>
          <w:bCs/>
          <w:color w:val="000000"/>
          <w:sz w:val="27"/>
        </w:rPr>
        <w:t> </w:t>
      </w:r>
      <w:hyperlink r:id="rId9" w:anchor="19224" w:tgtFrame="_blank" w:tooltip="Податковий кодекс України (ред. з 01.01.2017); нормативно-правовий акт № 2755-VI від 02.12.2010" w:history="1">
        <w:r w:rsidRPr="00A712A1">
          <w:rPr>
            <w:rFonts w:ascii="Times New Roman" w:eastAsia="Times New Roman" w:hAnsi="Times New Roman" w:cs="Times New Roman"/>
            <w:b/>
            <w:bCs/>
            <w:color w:val="0000FF"/>
            <w:sz w:val="27"/>
            <w:u w:val="single"/>
          </w:rPr>
          <w:t>ст.287 Податкового кодексу України</w:t>
        </w:r>
      </w:hyperlink>
      <w:r w:rsidRPr="00A712A1">
        <w:rPr>
          <w:rFonts w:ascii="Times New Roman" w:eastAsia="Times New Roman" w:hAnsi="Times New Roman" w:cs="Times New Roman"/>
          <w:b/>
          <w:bCs/>
          <w:color w:val="000000"/>
          <w:sz w:val="27"/>
          <w:szCs w:val="27"/>
        </w:rPr>
        <w:t>, новий власник буде платити орендну плату з дати реєстрації такого права у Державному реєстрі речових прав на нерухоме майно. Аналогічним чином, позивач повинен сплачувати орендну плату за зазначену земельну ділянку до тих пір, доки не буде внесені відомості про припинення його право оренди до Державного реєстру речових прав на нерухоме майно.</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Враховуючи узгоджене сторонами клопотання про розгляд справи за їх відсутністю, та керуючись ч. 4 ст. 122 КАс України, суд розглянув справу в порядку письмового провадження.</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Дослідив матеріали справи, суд встановив наступне.</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ОСОБА_1, ОСОБА_2 та ОСОБА_3 володіли на праві приватної власності нежитловим приміщенням за адресою: м. Миколаїв, вул. Гмирьова 17, яке розташоване на земельній ділянці площею 0,2525 га кадастровий номер 4810136900:05:066:0016, яка є комунальною власністю.</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 xml:space="preserve">08.07.15 ОСОБА_1, ОСОБА_2 та ОСОБА_3уклали з Миколаївською міською радою договір оренди землі №10933, відповідно до якого взяли в </w:t>
      </w:r>
      <w:r w:rsidRPr="00A712A1">
        <w:rPr>
          <w:rFonts w:ascii="Times New Roman" w:eastAsia="Times New Roman" w:hAnsi="Times New Roman" w:cs="Times New Roman"/>
          <w:b/>
          <w:bCs/>
          <w:color w:val="000000"/>
          <w:sz w:val="27"/>
          <w:szCs w:val="27"/>
        </w:rPr>
        <w:lastRenderedPageBreak/>
        <w:t>оренду для обслуговуванням приміщення за адресою: м. Миколаїв, вул. Гмирьова, 17, земельну ділянку площею 0,2525 га кадастровий номер 4810136900:05:066:0016 (арк.спр.7).</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18.03.16 ОСОБА_1, ОСОБА_2 та ОСОБА_3 відповідно до договору купівлі-продажу продали нежитлове приміщення за адресою: м. Миколаїв, вул. Гмирьова, 17 ОСОБА_4 (арк.спр.11).</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18.03.16 право власності на нежитлове приміщення за адресою: м. Миколаїв, вул. Гмирьова, 17, зареєстровано у Державному реєстрів прав на нерухоме майно за ОСОБА_4 (арк.спр.12).</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20.04.17 рішенням Миколаївської міської ради №18/16 внесено зміни до договору оренди землі, від 08.07.15 в частині орендаря, змінивши його з ОСОБА_1, ОСОБА_2 та ОСОБА_3 на ОСОБА_4</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Пунктом 2.1 цього рішення право користування ОСОБА_1, ОСОБА_2 та ОСОБА_3 земельною ділянкою площею 0,2525 га кадастровий номер 4810136900:05:066:0016 припинено (арк.спр.13).</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10.04.17 ГУ ДФС України у Миколаївській області винесло податкове повідомлення-рішення №37366-1303 про визначення ОСОБА_1 податкового зобовязання з орендної плати за земельну ділянку кадастровий номер 4810136900:05:066:0016 за 2017 рік в сумі 30037,89 гривень (арк.спр.8).</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Відповідно до</w:t>
      </w:r>
      <w:r w:rsidRPr="00A712A1">
        <w:rPr>
          <w:rFonts w:ascii="Times New Roman" w:eastAsia="Times New Roman" w:hAnsi="Times New Roman" w:cs="Times New Roman"/>
          <w:b/>
          <w:bCs/>
          <w:color w:val="000000"/>
          <w:sz w:val="27"/>
        </w:rPr>
        <w:t> </w:t>
      </w:r>
      <w:hyperlink r:id="rId10" w:anchor="19236" w:tgtFrame="_blank" w:tooltip="Податковий кодекс України (ред. з 01.01.2017); нормативно-правовий акт № 2755-VI від 02.12.2010" w:history="1">
        <w:r w:rsidRPr="00A712A1">
          <w:rPr>
            <w:rFonts w:ascii="Times New Roman" w:eastAsia="Times New Roman" w:hAnsi="Times New Roman" w:cs="Times New Roman"/>
            <w:b/>
            <w:bCs/>
            <w:color w:val="0000FF"/>
            <w:sz w:val="27"/>
            <w:u w:val="single"/>
          </w:rPr>
          <w:t>ст.288 Податкового кодексу України</w:t>
        </w:r>
      </w:hyperlink>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підставою для нарахування орендної плати за земельну ділянку є договір оренди такої земельної ділянки.</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Форма надання інформації затверджується центральним органом виконавчої влади, що забезпечує формування державної фінансової політики.</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Договір оренди земель державної і комунальної власності укладається за типовою формою, затвердженою Кабінетом Міністрів України.</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hyperlink r:id="rId11" w:tgtFrame="_blank" w:tooltip="Про затвердження Типового договору оренди землі; нормативно-правовий акт № 220 від 03.03.2004" w:history="1">
        <w:r w:rsidRPr="00A712A1">
          <w:rPr>
            <w:rFonts w:ascii="Times New Roman" w:eastAsia="Times New Roman" w:hAnsi="Times New Roman" w:cs="Times New Roman"/>
            <w:b/>
            <w:bCs/>
            <w:color w:val="0000FF"/>
            <w:sz w:val="27"/>
            <w:u w:val="single"/>
          </w:rPr>
          <w:t>Постановою Кабінету Міністрів України від 03.03.04 №220</w:t>
        </w:r>
      </w:hyperlink>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затверджено типову форму договору оренди.</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lastRenderedPageBreak/>
        <w:t>Відповідно до Типової форми договору, права та обовязки сторін визначаються відповідно до</w:t>
      </w:r>
      <w:r w:rsidRPr="00A712A1">
        <w:rPr>
          <w:rFonts w:ascii="Times New Roman" w:eastAsia="Times New Roman" w:hAnsi="Times New Roman" w:cs="Times New Roman"/>
          <w:b/>
          <w:bCs/>
          <w:color w:val="000000"/>
          <w:sz w:val="27"/>
        </w:rPr>
        <w:t> </w:t>
      </w:r>
      <w:hyperlink r:id="rId12" w:tgtFrame="_blank" w:tooltip="Про оренду землі; нормативно-правовий акт № 161-XIV від 06.10.1998" w:history="1">
        <w:r w:rsidRPr="00A712A1">
          <w:rPr>
            <w:rFonts w:ascii="Times New Roman" w:eastAsia="Times New Roman" w:hAnsi="Times New Roman" w:cs="Times New Roman"/>
            <w:b/>
            <w:bCs/>
            <w:color w:val="0000FF"/>
            <w:sz w:val="27"/>
            <w:u w:val="single"/>
          </w:rPr>
          <w:t>Закону України «Про оренду землі»</w:t>
        </w:r>
      </w:hyperlink>
      <w:r w:rsidRPr="00A712A1">
        <w:rPr>
          <w:rFonts w:ascii="Times New Roman" w:eastAsia="Times New Roman" w:hAnsi="Times New Roman" w:cs="Times New Roman"/>
          <w:b/>
          <w:bCs/>
          <w:color w:val="000000"/>
          <w:sz w:val="27"/>
          <w:szCs w:val="27"/>
        </w:rPr>
        <w:t>.</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В</w:t>
      </w:r>
      <w:r w:rsidRPr="00A712A1">
        <w:rPr>
          <w:rFonts w:ascii="Times New Roman" w:eastAsia="Times New Roman" w:hAnsi="Times New Roman" w:cs="Times New Roman"/>
          <w:b/>
          <w:bCs/>
          <w:color w:val="000000"/>
          <w:sz w:val="27"/>
        </w:rPr>
        <w:t> </w:t>
      </w:r>
      <w:hyperlink r:id="rId13" w:tgtFrame="_blank" w:tooltip="Про оренду землі; нормативно-правовий акт № 161-XIV від 06.10.1998" w:history="1">
        <w:r w:rsidRPr="00A712A1">
          <w:rPr>
            <w:rFonts w:ascii="Times New Roman" w:eastAsia="Times New Roman" w:hAnsi="Times New Roman" w:cs="Times New Roman"/>
            <w:b/>
            <w:bCs/>
            <w:color w:val="0000FF"/>
            <w:sz w:val="27"/>
            <w:u w:val="single"/>
          </w:rPr>
          <w:t>Законі України «Про оренду землі»</w:t>
        </w:r>
      </w:hyperlink>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відсутня норма, аналогічна п.п. «и» п.9.4 договору оренди №7564, про те, що у разі відчуження усіх будівель та споруд розташованих на земельній ділянці, оренда плата сплачується до дати припинення державної реєстрації його права оренди земельної ділянкою.</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Натомість, відповідно до абз. 8 ч.1</w:t>
      </w:r>
      <w:r w:rsidRPr="00A712A1">
        <w:rPr>
          <w:rFonts w:ascii="Times New Roman" w:eastAsia="Times New Roman" w:hAnsi="Times New Roman" w:cs="Times New Roman"/>
          <w:b/>
          <w:bCs/>
          <w:color w:val="000000"/>
          <w:sz w:val="27"/>
        </w:rPr>
        <w:t> </w:t>
      </w:r>
      <w:hyperlink r:id="rId14" w:anchor="778449" w:tgtFrame="_blank" w:tooltip="Про оренду землі; нормативно-правовий акт № 161-XIV від 06.10.1998" w:history="1">
        <w:r w:rsidRPr="00A712A1">
          <w:rPr>
            <w:rFonts w:ascii="Times New Roman" w:eastAsia="Times New Roman" w:hAnsi="Times New Roman" w:cs="Times New Roman"/>
            <w:b/>
            <w:bCs/>
            <w:color w:val="0000FF"/>
            <w:sz w:val="27"/>
            <w:u w:val="single"/>
          </w:rPr>
          <w:t>ст.31 Закону України «Про оренду землі»</w:t>
        </w:r>
      </w:hyperlink>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договір оренди землі припиняється в разі набуття права власності на житловий будинок, будівлю або споруду, що розташовані на орендованій іншою особою земельній ділянці.</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Таким чином, відповідно до</w:t>
      </w:r>
      <w:r w:rsidRPr="00A712A1">
        <w:rPr>
          <w:rFonts w:ascii="Times New Roman" w:eastAsia="Times New Roman" w:hAnsi="Times New Roman" w:cs="Times New Roman"/>
          <w:b/>
          <w:bCs/>
          <w:color w:val="000000"/>
          <w:sz w:val="27"/>
        </w:rPr>
        <w:t> </w:t>
      </w:r>
      <w:hyperlink r:id="rId15" w:anchor="778449" w:tgtFrame="_blank" w:tooltip="Про оренду землі; нормативно-правовий акт № 161-XIV від 06.10.1998" w:history="1">
        <w:r w:rsidRPr="00A712A1">
          <w:rPr>
            <w:rFonts w:ascii="Times New Roman" w:eastAsia="Times New Roman" w:hAnsi="Times New Roman" w:cs="Times New Roman"/>
            <w:b/>
            <w:bCs/>
            <w:color w:val="0000FF"/>
            <w:sz w:val="27"/>
            <w:u w:val="single"/>
          </w:rPr>
          <w:t>ст.31 Закону України «Про оренду землі»</w:t>
        </w:r>
      </w:hyperlink>
      <w:r w:rsidRPr="00A712A1">
        <w:rPr>
          <w:rFonts w:ascii="Times New Roman" w:eastAsia="Times New Roman" w:hAnsi="Times New Roman" w:cs="Times New Roman"/>
          <w:b/>
          <w:bCs/>
          <w:color w:val="000000"/>
          <w:sz w:val="27"/>
          <w:szCs w:val="27"/>
        </w:rPr>
        <w:t>, з моменту втрати ОСОБА_1 права власності на нежитлове приміщення за адресою м. Миколаїв, вул. Гмирьова, 17, договір оренди земельної ділянки між ОСОБА_1 та Миколаївською міською радою, також припинив дію.</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Відповідно до</w:t>
      </w:r>
      <w:r w:rsidRPr="00A712A1">
        <w:rPr>
          <w:rFonts w:ascii="Times New Roman" w:eastAsia="Times New Roman" w:hAnsi="Times New Roman" w:cs="Times New Roman"/>
          <w:b/>
          <w:bCs/>
          <w:color w:val="000000"/>
          <w:sz w:val="27"/>
        </w:rPr>
        <w:t> </w:t>
      </w:r>
      <w:hyperlink r:id="rId16" w:anchor="588451" w:tgtFrame="_blank" w:tooltip="Земельний кодекс України; нормативно-правовий акт № 2768-III від 25.10.2001" w:history="1">
        <w:r w:rsidRPr="00A712A1">
          <w:rPr>
            <w:rFonts w:ascii="Times New Roman" w:eastAsia="Times New Roman" w:hAnsi="Times New Roman" w:cs="Times New Roman"/>
            <w:b/>
            <w:bCs/>
            <w:color w:val="0000FF"/>
            <w:sz w:val="27"/>
            <w:u w:val="single"/>
          </w:rPr>
          <w:t>ст.120 Земельного кодексу України</w:t>
        </w:r>
      </w:hyperlink>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у разі набуття права власності на жилий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жилий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Щодо аргументів третьої особи, про те, що п.9.4 договору оренди передбачена сплата орендної плати до моменту реєстрації припинення права оренди, то суд виходить з того, що у цьому випадку йде мова про податки, а тому відповідно до</w:t>
      </w:r>
      <w:r w:rsidRPr="00A712A1">
        <w:rPr>
          <w:rFonts w:ascii="Times New Roman" w:eastAsia="Times New Roman" w:hAnsi="Times New Roman" w:cs="Times New Roman"/>
          <w:b/>
          <w:bCs/>
          <w:color w:val="000000"/>
          <w:sz w:val="27"/>
        </w:rPr>
        <w:t> </w:t>
      </w:r>
      <w:hyperlink r:id="rId17" w:anchor="315" w:tgtFrame="_blank" w:tooltip="КОНСТИТУЦІЯ УКРАЇНИ; нормативно-правовий акт № 254к/96-ВР від 28.06.1996" w:history="1">
        <w:r w:rsidRPr="00A712A1">
          <w:rPr>
            <w:rFonts w:ascii="Times New Roman" w:eastAsia="Times New Roman" w:hAnsi="Times New Roman" w:cs="Times New Roman"/>
            <w:b/>
            <w:bCs/>
            <w:color w:val="0000FF"/>
            <w:sz w:val="27"/>
            <w:u w:val="single"/>
          </w:rPr>
          <w:t>ст.92 Конституції України</w:t>
        </w:r>
      </w:hyperlink>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виключно законами визначаються система оподаткування, податки і збори.</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Законом (</w:t>
      </w:r>
      <w:hyperlink r:id="rId18" w:anchor="19232" w:tgtFrame="_blank" w:tooltip="Податковий кодекс України (ред. з 01.01.2017); нормативно-правовий акт № 2755-VI від 02.12.2010" w:history="1">
        <w:r w:rsidRPr="00A712A1">
          <w:rPr>
            <w:rFonts w:ascii="Times New Roman" w:eastAsia="Times New Roman" w:hAnsi="Times New Roman" w:cs="Times New Roman"/>
            <w:b/>
            <w:bCs/>
            <w:color w:val="0000FF"/>
            <w:sz w:val="27"/>
            <w:u w:val="single"/>
          </w:rPr>
          <w:t>п.287.6 ПК України</w:t>
        </w:r>
      </w:hyperlink>
      <w:r w:rsidRPr="00A712A1">
        <w:rPr>
          <w:rFonts w:ascii="Times New Roman" w:eastAsia="Times New Roman" w:hAnsi="Times New Roman" w:cs="Times New Roman"/>
          <w:b/>
          <w:bCs/>
          <w:color w:val="000000"/>
          <w:sz w:val="27"/>
          <w:szCs w:val="27"/>
        </w:rPr>
        <w:t>) лише передбачено про те, що при переході права власності на будівлю, податок за земельні ділянки, на яких розташовані такі будівлі сплачується новим власником на загальних підставах з дати державної реєстрації права власності на таку земельну ділянку.</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lastRenderedPageBreak/>
        <w:t>Разом з тим, у</w:t>
      </w:r>
      <w:r w:rsidRPr="00A712A1">
        <w:rPr>
          <w:rFonts w:ascii="Times New Roman" w:eastAsia="Times New Roman" w:hAnsi="Times New Roman" w:cs="Times New Roman"/>
          <w:b/>
          <w:bCs/>
          <w:color w:val="000000"/>
          <w:sz w:val="27"/>
        </w:rPr>
        <w:t> </w:t>
      </w:r>
      <w:hyperlink r:id="rId19" w:tgtFrame="_blank" w:tooltip="Податковий кодекс України (ред. з 01.01.2017); нормативно-правовий акт № 2755-VI від 02.12.2010" w:history="1">
        <w:r w:rsidRPr="00A712A1">
          <w:rPr>
            <w:rFonts w:ascii="Times New Roman" w:eastAsia="Times New Roman" w:hAnsi="Times New Roman" w:cs="Times New Roman"/>
            <w:b/>
            <w:bCs/>
            <w:color w:val="0000FF"/>
            <w:sz w:val="27"/>
            <w:u w:val="single"/>
          </w:rPr>
          <w:t>ПК України</w:t>
        </w:r>
      </w:hyperlink>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відсутня норма, яка зобовязує колишнього власника продовжувати сплачувати податок за земельну ділянку, при переході права власності на будівлі до того моменту, поки не буде зареєстровано припинення його право оренди.</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Застосування розширеного тлумачення чи аналогії закону, при якому, на платника податків буде покладено додатковий обовязок суд вважає неможливим.</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Вирішуючи зазначений спір, суд виходить з того, що втрати бюджету у цьому випадку за час фактичного користування новим власником земельною ділянкою, на якій розташований придбаний у позивача обєкт нерухомості, не можуть бути аргументом для покладання обовязку сплати податків на колишнього власника та землекористувача.</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i/>
          <w:iCs/>
          <w:color w:val="000000"/>
          <w:sz w:val="27"/>
          <w:szCs w:val="27"/>
        </w:rPr>
        <w:t>Якість закону</w:t>
      </w:r>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вимагає, щоб він був доступний для даної особи і вона також могла передбачити наслідки його застосування до неї та щоб закон не суперечив принципові верховенства права. Це означає, що в національному праві має існувати засіб правового захисту від свавільного втручання з боку державних органів у права, гарантовані</w:t>
      </w:r>
      <w:r w:rsidRPr="00A712A1">
        <w:rPr>
          <w:rFonts w:ascii="Times New Roman" w:eastAsia="Times New Roman" w:hAnsi="Times New Roman" w:cs="Times New Roman"/>
          <w:b/>
          <w:bCs/>
          <w:color w:val="000000"/>
          <w:sz w:val="27"/>
        </w:rPr>
        <w:t> </w:t>
      </w:r>
      <w:hyperlink r:id="rId20" w:tgtFrame="_blank" w:tooltip="Конвенція про захист прав людини і основоположних свобод; нормативно-правовий акт № ETS N 005 від 04.11.1950" w:history="1">
        <w:r w:rsidRPr="00A712A1">
          <w:rPr>
            <w:rFonts w:ascii="Times New Roman" w:eastAsia="Times New Roman" w:hAnsi="Times New Roman" w:cs="Times New Roman"/>
            <w:b/>
            <w:bCs/>
            <w:color w:val="0000FF"/>
            <w:sz w:val="27"/>
            <w:u w:val="single"/>
          </w:rPr>
          <w:t>Конвенцією про захист прав людини і основоположних свобод</w:t>
        </w:r>
      </w:hyperlink>
      <w:r w:rsidRPr="00A712A1">
        <w:rPr>
          <w:rFonts w:ascii="Times New Roman" w:eastAsia="Times New Roman" w:hAnsi="Times New Roman" w:cs="Times New Roman"/>
          <w:b/>
          <w:bCs/>
          <w:color w:val="000000"/>
          <w:sz w:val="27"/>
          <w:szCs w:val="27"/>
        </w:rPr>
        <w:t>. Закон має містити досить зрозумілі й чіткі формулювання, які давали б громадянам належне уявлення стосовно обставин та умов, за якими державні органи уповноважені вдаватися до втручання в право (Рішення Європейського суду з прав людини у справі «ОСОБА_2 проти Швейцарії» від 16 лютого 2000 року, Рішення Європейського суду з прав людини у справі «Круслена» від 24 квітня 1990 року).</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Відповідно до п.</w:t>
      </w:r>
      <w:r w:rsidRPr="00A712A1">
        <w:rPr>
          <w:rFonts w:ascii="Times New Roman" w:eastAsia="Times New Roman" w:hAnsi="Times New Roman" w:cs="Times New Roman"/>
          <w:b/>
          <w:bCs/>
          <w:color w:val="000000"/>
          <w:sz w:val="27"/>
        </w:rPr>
        <w:t> </w:t>
      </w:r>
      <w:hyperlink r:id="rId21" w:anchor="12264" w:tgtFrame="_blank" w:tooltip="Податковий кодекс України (ред. з 01.01.2017); нормативно-правовий акт № 2755-VI від 02.12.2010" w:history="1">
        <w:r w:rsidRPr="00A712A1">
          <w:rPr>
            <w:rFonts w:ascii="Times New Roman" w:eastAsia="Times New Roman" w:hAnsi="Times New Roman" w:cs="Times New Roman"/>
            <w:b/>
            <w:bCs/>
            <w:color w:val="0000FF"/>
            <w:sz w:val="27"/>
            <w:u w:val="single"/>
          </w:rPr>
          <w:t>56.21</w:t>
        </w:r>
      </w:hyperlink>
      <w:r w:rsidRPr="00A712A1">
        <w:rPr>
          <w:rFonts w:ascii="Times New Roman" w:eastAsia="Times New Roman" w:hAnsi="Times New Roman" w:cs="Times New Roman"/>
          <w:b/>
          <w:bCs/>
          <w:color w:val="000000"/>
          <w:sz w:val="27"/>
          <w:szCs w:val="27"/>
        </w:rPr>
        <w:t>. ст.</w:t>
      </w:r>
      <w:hyperlink r:id="rId22" w:anchor="12228" w:tgtFrame="_blank" w:tooltip="Податковий кодекс України (ред. з 01.01.2017); нормативно-правовий акт № 2755-VI від 02.12.2010" w:history="1">
        <w:r w:rsidRPr="00A712A1">
          <w:rPr>
            <w:rFonts w:ascii="Times New Roman" w:eastAsia="Times New Roman" w:hAnsi="Times New Roman" w:cs="Times New Roman"/>
            <w:b/>
            <w:bCs/>
            <w:color w:val="0000FF"/>
            <w:sz w:val="27"/>
            <w:u w:val="single"/>
          </w:rPr>
          <w:t>56 Податкового кодексу України</w:t>
        </w:r>
      </w:hyperlink>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у разі коли норма цього</w:t>
      </w:r>
      <w:r w:rsidRPr="00A712A1">
        <w:rPr>
          <w:rFonts w:ascii="Times New Roman" w:eastAsia="Times New Roman" w:hAnsi="Times New Roman" w:cs="Times New Roman"/>
          <w:b/>
          <w:bCs/>
          <w:color w:val="000000"/>
          <w:sz w:val="27"/>
        </w:rPr>
        <w:t> </w:t>
      </w:r>
      <w:hyperlink r:id="rId23" w:tgtFrame="_blank" w:tooltip="Податковий кодекс України (ред. з 01.01.2017); нормативно-правовий акт № 2755-VI від 02.12.2010" w:history="1">
        <w:r w:rsidRPr="00A712A1">
          <w:rPr>
            <w:rFonts w:ascii="Times New Roman" w:eastAsia="Times New Roman" w:hAnsi="Times New Roman" w:cs="Times New Roman"/>
            <w:b/>
            <w:bCs/>
            <w:color w:val="0000FF"/>
            <w:sz w:val="27"/>
            <w:u w:val="single"/>
          </w:rPr>
          <w:t>Кодексу</w:t>
        </w:r>
      </w:hyperlink>
      <w:r w:rsidRPr="00A712A1">
        <w:rPr>
          <w:rFonts w:ascii="Times New Roman" w:eastAsia="Times New Roman" w:hAnsi="Times New Roman" w:cs="Times New Roman"/>
          <w:b/>
          <w:bCs/>
          <w:color w:val="000000"/>
          <w:sz w:val="27"/>
        </w:rPr>
        <w:t> </w:t>
      </w:r>
      <w:r w:rsidRPr="00A712A1">
        <w:rPr>
          <w:rFonts w:ascii="Times New Roman" w:eastAsia="Times New Roman" w:hAnsi="Times New Roman" w:cs="Times New Roman"/>
          <w:b/>
          <w:bCs/>
          <w:color w:val="000000"/>
          <w:sz w:val="27"/>
          <w:szCs w:val="27"/>
        </w:rPr>
        <w:t>чи іншого нормативно-правового акта, виданого на підставі цього</w:t>
      </w:r>
      <w:r w:rsidRPr="00A712A1">
        <w:rPr>
          <w:rFonts w:ascii="Times New Roman" w:eastAsia="Times New Roman" w:hAnsi="Times New Roman" w:cs="Times New Roman"/>
          <w:b/>
          <w:bCs/>
          <w:color w:val="000000"/>
          <w:sz w:val="27"/>
        </w:rPr>
        <w:t> </w:t>
      </w:r>
      <w:hyperlink r:id="rId24" w:tgtFrame="_blank" w:tooltip="Податковий кодекс України (ред. з 01.01.2017); нормативно-правовий акт № 2755-VI від 02.12.2010" w:history="1">
        <w:r w:rsidRPr="00A712A1">
          <w:rPr>
            <w:rFonts w:ascii="Times New Roman" w:eastAsia="Times New Roman" w:hAnsi="Times New Roman" w:cs="Times New Roman"/>
            <w:b/>
            <w:bCs/>
            <w:color w:val="0000FF"/>
            <w:sz w:val="27"/>
            <w:u w:val="single"/>
          </w:rPr>
          <w:t>Кодексу</w:t>
        </w:r>
      </w:hyperlink>
      <w:r w:rsidRPr="00A712A1">
        <w:rPr>
          <w:rFonts w:ascii="Times New Roman" w:eastAsia="Times New Roman" w:hAnsi="Times New Roman" w:cs="Times New Roman"/>
          <w:b/>
          <w:bCs/>
          <w:color w:val="000000"/>
          <w:sz w:val="27"/>
          <w:szCs w:val="27"/>
        </w:rPr>
        <w:t>, або коли норми різних законів чи різних нормативно-правових актів, або коли норми одного і того ж нормативно-правового акта суперечать між собою та припускають неоднозначне (множинне) трактування прав та обов'язків платників податків або контролюючих органів, внаслідок чого є можливість прийняти рішення на користь як платника податків, так і контролюючого органу, рішення приймається на користь платника податків.</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Враховуючи викладене, суд дійшов висновку, що у цьому випадку, всі сумніви та неоднозначне трактування законодавства, повинно тлумачитися на користь позивачки, а не субєктів владних повноважень.</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Позов задовольнити у повному обсязі. Визнати протиправним та скасувати податкове повідомлення-рішення від 10.04.17 №37366-1303.</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Судові витрати покласти на відповідача.</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lastRenderedPageBreak/>
        <w:t>На підставі викладеного, керуючись ст.</w:t>
      </w:r>
      <w:hyperlink r:id="rId25" w:anchor="1605" w:tgtFrame="_blank" w:tooltip="Кодекс адміністративного судочинства України; нормативно-правовий акт № 2747-IV від 06.07.2005" w:history="1">
        <w:r w:rsidRPr="00A712A1">
          <w:rPr>
            <w:rFonts w:ascii="Times New Roman" w:eastAsia="Times New Roman" w:hAnsi="Times New Roman" w:cs="Times New Roman"/>
            <w:b/>
            <w:bCs/>
            <w:color w:val="0000FF"/>
            <w:sz w:val="27"/>
            <w:u w:val="single"/>
          </w:rPr>
          <w:t>ст. 158-163 КАС України</w:t>
        </w:r>
      </w:hyperlink>
      <w:r w:rsidRPr="00A712A1">
        <w:rPr>
          <w:rFonts w:ascii="Times New Roman" w:eastAsia="Times New Roman" w:hAnsi="Times New Roman" w:cs="Times New Roman"/>
          <w:b/>
          <w:bCs/>
          <w:color w:val="000000"/>
          <w:sz w:val="27"/>
          <w:szCs w:val="27"/>
        </w:rPr>
        <w:t>, суд, -</w:t>
      </w:r>
    </w:p>
    <w:p w:rsidR="00A712A1" w:rsidRPr="00A712A1" w:rsidRDefault="00A712A1" w:rsidP="00A712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712A1">
        <w:rPr>
          <w:rFonts w:ascii="Times New Roman" w:eastAsia="Times New Roman" w:hAnsi="Times New Roman" w:cs="Times New Roman"/>
          <w:color w:val="000000"/>
          <w:sz w:val="27"/>
          <w:szCs w:val="27"/>
        </w:rPr>
        <w:t>П О С Т А Н О В И В:</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       1.Позов задовольнити повністю.</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   2. Визнати протиправним та скасувати податкове повідомлення-рішення Головного управління Державної фіскальної служби в Миколаївській області №37366-1303 від 10.04.2017 року.</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     3. Присудити на користь ОСОБА_1 тетяни Валеріївни (РНОКПП НОМЕР_1)  за  рахунок бюджетних асигнувань Головного управління Державної фіскальної служби у Миколаївській області  судовий збір в сумі 640,00 гривень (шістсот сорок грн.).</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b/>
          <w:bCs/>
          <w:color w:val="000000"/>
          <w:sz w:val="27"/>
          <w:szCs w:val="27"/>
        </w:rPr>
        <w:t>    4. Апеляційна скарга на цю постанову може бути подана до Одеського апеляційного адміністративного суду через Миколаївський окружний адміністративний суд протягом десяти днів з дня її отримання у повному обсязі.</w:t>
      </w:r>
    </w:p>
    <w:p w:rsidR="00A712A1" w:rsidRPr="00A712A1" w:rsidRDefault="00A712A1" w:rsidP="00A712A1">
      <w:pPr>
        <w:spacing w:before="100" w:beforeAutospacing="1" w:after="100" w:afterAutospacing="1" w:line="240" w:lineRule="auto"/>
        <w:rPr>
          <w:rFonts w:ascii="Times New Roman" w:eastAsia="Times New Roman" w:hAnsi="Times New Roman" w:cs="Times New Roman"/>
          <w:color w:val="000000"/>
          <w:sz w:val="27"/>
          <w:szCs w:val="27"/>
        </w:rPr>
      </w:pPr>
      <w:r w:rsidRPr="00A712A1">
        <w:rPr>
          <w:rFonts w:ascii="Times New Roman" w:eastAsia="Times New Roman" w:hAnsi="Times New Roman" w:cs="Times New Roman"/>
          <w:color w:val="000000"/>
          <w:sz w:val="27"/>
          <w:szCs w:val="27"/>
        </w:rPr>
        <w:t>Суддя                В. В. Біоносенко</w:t>
      </w:r>
    </w:p>
    <w:p w:rsidR="00000000" w:rsidRDefault="00A712A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712A1"/>
    <w:rsid w:val="00A71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12A1"/>
  </w:style>
  <w:style w:type="character" w:styleId="a4">
    <w:name w:val="Hyperlink"/>
    <w:basedOn w:val="a0"/>
    <w:uiPriority w:val="99"/>
    <w:semiHidden/>
    <w:unhideWhenUsed/>
    <w:rsid w:val="00A712A1"/>
    <w:rPr>
      <w:color w:val="0000FF"/>
      <w:u w:val="single"/>
    </w:rPr>
  </w:style>
  <w:style w:type="paragraph" w:styleId="a5">
    <w:name w:val="Balloon Text"/>
    <w:basedOn w:val="a"/>
    <w:link w:val="a6"/>
    <w:uiPriority w:val="99"/>
    <w:semiHidden/>
    <w:unhideWhenUsed/>
    <w:rsid w:val="00A71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2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5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0765/ed_2017_09_07/pravo1/T10_2755.html?pravo=1" TargetMode="External"/><Relationship Id="rId13" Type="http://schemas.openxmlformats.org/officeDocument/2006/relationships/hyperlink" Target="http://search.ligazakon.ua/l_doc2.nsf/link1/ed_2017_03_23/pravo1/T980161.html?pravo=1" TargetMode="External"/><Relationship Id="rId18" Type="http://schemas.openxmlformats.org/officeDocument/2006/relationships/hyperlink" Target="http://search.ligazakon.ua/l_doc2.nsf/link1/an_19232/ed_2017_09_07/pravo1/T10_2755.html?pravo=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arch.ligazakon.ua/l_doc2.nsf/link1/an_12264/ed_2017_09_07/pravo1/T10_2755.html?pravo=1" TargetMode="External"/><Relationship Id="rId7" Type="http://schemas.openxmlformats.org/officeDocument/2006/relationships/hyperlink" Target="http://search.ligazakon.ua/l_doc2.nsf/link1/an_10909/ed_2017_09_07/pravo1/T10_2755.html?pravo=1" TargetMode="External"/><Relationship Id="rId12" Type="http://schemas.openxmlformats.org/officeDocument/2006/relationships/hyperlink" Target="http://search.ligazakon.ua/l_doc2.nsf/link1/ed_2017_03_23/pravo1/T980161.html?pravo=1" TargetMode="External"/><Relationship Id="rId17" Type="http://schemas.openxmlformats.org/officeDocument/2006/relationships/hyperlink" Target="http://search.ligazakon.ua/l_doc2.nsf/link1/an_315/ed_2016_06_02/pravo1/Z960254K.html?pravo=1" TargetMode="External"/><Relationship Id="rId25" Type="http://schemas.openxmlformats.org/officeDocument/2006/relationships/hyperlink" Target="http://search.ligazakon.ua/l_doc2.nsf/link1/an_1605/ed_2017_08_03/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588451/ed_2017_09_05/pravo1/T012768.html?pravo=1" TargetMode="External"/><Relationship Id="rId20" Type="http://schemas.openxmlformats.org/officeDocument/2006/relationships/hyperlink" Target="http://search.ligazakon.ua/l_doc2.nsf/link1/ed_2009_05_27/pravo1/MU50K02U.html?pravo=1" TargetMode="External"/><Relationship Id="rId1" Type="http://schemas.openxmlformats.org/officeDocument/2006/relationships/styles" Target="styles.xml"/><Relationship Id="rId6" Type="http://schemas.openxmlformats.org/officeDocument/2006/relationships/hyperlink" Target="http://search.ligazakon.ua/l_doc2.nsf/link1/an_1242/ed_2017_09_05/pravo1/T012768.html?pravo=1" TargetMode="External"/><Relationship Id="rId11" Type="http://schemas.openxmlformats.org/officeDocument/2006/relationships/hyperlink" Target="http://search.ligazakon.ua/l_doc2.nsf/link1/ed_2016_11_23/pravo1/KP040220.html?pravo=1" TargetMode="External"/><Relationship Id="rId24" Type="http://schemas.openxmlformats.org/officeDocument/2006/relationships/hyperlink" Target="http://search.ligazakon.ua/l_doc2.nsf/link1/ed_2017_09_07/pravo1/T10_2755.html?pravo=1" TargetMode="External"/><Relationship Id="rId5" Type="http://schemas.openxmlformats.org/officeDocument/2006/relationships/hyperlink" Target="http://search.ligazakon.ua/l_doc2.nsf/link1/an_892/ed_2017_09_05/pravo1/T012768.html?pravo=1" TargetMode="External"/><Relationship Id="rId15" Type="http://schemas.openxmlformats.org/officeDocument/2006/relationships/hyperlink" Target="http://search.ligazakon.ua/l_doc2.nsf/link1/an_778449/ed_2017_03_23/pravo1/T980161.html?pravo=1" TargetMode="External"/><Relationship Id="rId23" Type="http://schemas.openxmlformats.org/officeDocument/2006/relationships/hyperlink" Target="http://search.ligazakon.ua/l_doc2.nsf/link1/ed_2017_09_07/pravo1/T10_2755.html?pravo=1" TargetMode="External"/><Relationship Id="rId10" Type="http://schemas.openxmlformats.org/officeDocument/2006/relationships/hyperlink" Target="http://search.ligazakon.ua/l_doc2.nsf/link1/an_19236/ed_2017_09_07/pravo1/T10_2755.html?pravo=1" TargetMode="External"/><Relationship Id="rId19" Type="http://schemas.openxmlformats.org/officeDocument/2006/relationships/hyperlink" Target="http://search.ligazakon.ua/l_doc2.nsf/link1/ed_2017_09_07/pravo1/T10_2755.html?pravo=1" TargetMode="External"/><Relationship Id="rId4" Type="http://schemas.openxmlformats.org/officeDocument/2006/relationships/image" Target="media/image1.gif"/><Relationship Id="rId9" Type="http://schemas.openxmlformats.org/officeDocument/2006/relationships/hyperlink" Target="http://search.ligazakon.ua/l_doc2.nsf/link1/an_19224/ed_2017_09_07/pravo1/T10_2755.html?pravo=1" TargetMode="External"/><Relationship Id="rId14" Type="http://schemas.openxmlformats.org/officeDocument/2006/relationships/hyperlink" Target="http://search.ligazakon.ua/l_doc2.nsf/link1/an_778449/ed_2017_03_23/pravo1/T980161.html?pravo=1" TargetMode="External"/><Relationship Id="rId22" Type="http://schemas.openxmlformats.org/officeDocument/2006/relationships/hyperlink" Target="http://search.ligazakon.ua/l_doc2.nsf/link1/an_12228/ed_2017_09_07/pravo1/T10_2755.html?pravo=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2508</Words>
  <Characters>14302</Characters>
  <Application>Microsoft Office Word</Application>
  <DocSecurity>0</DocSecurity>
  <Lines>119</Lines>
  <Paragraphs>33</Paragraphs>
  <ScaleCrop>false</ScaleCrop>
  <Company>Org</Company>
  <LinksUpToDate>false</LinksUpToDate>
  <CharactersWithSpaces>16777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2017-12-04T08:49:00Z</dcterms:created>
  <dcterms:modified xsi:type="dcterms:W3CDTF">2017-12-04T08:50:00Z</dcterms:modified>
</cp:coreProperties>
</file>